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highlight w:val="none"/>
          <w:lang w:eastAsia="zh-CN"/>
        </w:rPr>
      </w:pPr>
    </w:p>
    <w:p>
      <w:pPr>
        <w:spacing w:line="360" w:lineRule="auto"/>
        <w:ind w:left="2723"/>
        <w:rPr>
          <w:rFonts w:ascii="黑体" w:hAnsi="黑体" w:eastAsia="黑体" w:cs="黑体"/>
          <w:sz w:val="72"/>
          <w:szCs w:val="72"/>
          <w:highlight w:val="none"/>
          <w:lang w:eastAsia="zh-CN"/>
        </w:rPr>
      </w:pPr>
      <w:r>
        <w:rPr>
          <w:rFonts w:hint="eastAsia" w:ascii="黑体" w:hAnsi="黑体" w:eastAsia="黑体" w:cs="黑体"/>
          <w:sz w:val="72"/>
          <w:szCs w:val="72"/>
          <w:highlight w:val="none"/>
          <w:lang w:eastAsia="zh-CN"/>
        </w:rPr>
        <w:t>质</w:t>
      </w:r>
      <w:r>
        <w:rPr>
          <w:rFonts w:hint="eastAsia" w:ascii="黑体" w:hAnsi="黑体" w:eastAsia="黑体" w:cs="黑体"/>
          <w:spacing w:val="-3"/>
          <w:sz w:val="72"/>
          <w:szCs w:val="72"/>
          <w:highlight w:val="none"/>
          <w:lang w:eastAsia="zh-CN"/>
        </w:rPr>
        <w:t>量</w:t>
      </w:r>
      <w:r>
        <w:rPr>
          <w:rFonts w:hint="eastAsia" w:ascii="黑体" w:hAnsi="黑体" w:eastAsia="黑体" w:cs="黑体"/>
          <w:sz w:val="72"/>
          <w:szCs w:val="72"/>
          <w:highlight w:val="none"/>
          <w:lang w:eastAsia="zh-CN"/>
        </w:rPr>
        <w:t>诚信报告</w:t>
      </w:r>
    </w:p>
    <w:p>
      <w:pPr>
        <w:jc w:val="both"/>
        <w:rPr>
          <w:sz w:val="44"/>
          <w:szCs w:val="44"/>
          <w:highlight w:val="none"/>
          <w:lang w:eastAsia="zh-CN"/>
        </w:rPr>
      </w:pPr>
    </w:p>
    <w:p>
      <w:pPr>
        <w:jc w:val="center"/>
        <w:rPr>
          <w:sz w:val="44"/>
          <w:szCs w:val="44"/>
          <w:highlight w:val="none"/>
          <w:lang w:eastAsia="zh-CN"/>
        </w:rPr>
      </w:pPr>
    </w:p>
    <w:p>
      <w:pPr>
        <w:jc w:val="center"/>
        <w:rPr>
          <w:sz w:val="44"/>
          <w:szCs w:val="44"/>
          <w:highlight w:val="none"/>
          <w:lang w:eastAsia="zh-CN"/>
        </w:rPr>
      </w:pPr>
      <w:r>
        <w:drawing>
          <wp:inline distT="0" distB="0" distL="114300" distR="114300">
            <wp:extent cx="5577840" cy="3898265"/>
            <wp:effectExtent l="0" t="0" r="381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577840" cy="3898265"/>
                    </a:xfrm>
                    <a:prstGeom prst="rect">
                      <a:avLst/>
                    </a:prstGeom>
                    <a:noFill/>
                    <a:ln>
                      <a:noFill/>
                    </a:ln>
                  </pic:spPr>
                </pic:pic>
              </a:graphicData>
            </a:graphic>
          </wp:inline>
        </w:drawing>
      </w:r>
    </w:p>
    <w:p>
      <w:pPr>
        <w:rPr>
          <w:sz w:val="44"/>
          <w:szCs w:val="44"/>
          <w:highlight w:val="none"/>
          <w:lang w:eastAsia="zh-CN"/>
        </w:rPr>
      </w:pPr>
    </w:p>
    <w:p>
      <w:pPr>
        <w:jc w:val="center"/>
        <w:rPr>
          <w:sz w:val="44"/>
          <w:szCs w:val="44"/>
          <w:highlight w:val="none"/>
          <w:lang w:eastAsia="zh-CN"/>
        </w:rPr>
      </w:pPr>
    </w:p>
    <w:p>
      <w:pPr>
        <w:spacing w:line="360" w:lineRule="auto"/>
        <w:jc w:val="both"/>
        <w:rPr>
          <w:rFonts w:hint="eastAsia"/>
          <w:b/>
          <w:sz w:val="48"/>
          <w:szCs w:val="48"/>
          <w:highlight w:val="none"/>
          <w:lang w:val="en-US" w:eastAsia="zh-CN"/>
        </w:rPr>
      </w:pPr>
    </w:p>
    <w:p>
      <w:pPr>
        <w:spacing w:line="360" w:lineRule="auto"/>
        <w:ind w:firstLine="2409" w:firstLineChars="500"/>
        <w:jc w:val="both"/>
        <w:rPr>
          <w:sz w:val="44"/>
          <w:szCs w:val="44"/>
          <w:highlight w:val="none"/>
          <w:lang w:eastAsia="zh-CN"/>
        </w:rPr>
      </w:pPr>
      <w:r>
        <w:rPr>
          <w:rFonts w:hint="eastAsia"/>
          <w:b/>
          <w:sz w:val="48"/>
          <w:szCs w:val="48"/>
          <w:highlight w:val="none"/>
          <w:lang w:val="en-US" w:eastAsia="zh-CN"/>
        </w:rPr>
        <w:t>温州迪科阀门科技有限公司</w:t>
      </w:r>
    </w:p>
    <w:p>
      <w:pPr>
        <w:spacing w:line="360" w:lineRule="auto"/>
        <w:jc w:val="center"/>
        <w:rPr>
          <w:rFonts w:ascii="楷体" w:hAnsi="楷体" w:eastAsia="楷体"/>
          <w:sz w:val="48"/>
          <w:szCs w:val="44"/>
          <w:highlight w:val="none"/>
          <w:lang w:eastAsia="zh-CN"/>
        </w:rPr>
      </w:pPr>
      <w:r>
        <w:rPr>
          <w:rFonts w:hint="eastAsia" w:ascii="楷体" w:hAnsi="楷体" w:eastAsia="楷体"/>
          <w:sz w:val="48"/>
          <w:szCs w:val="44"/>
        </w:rPr>
        <w:t>二零二</w:t>
      </w:r>
      <w:r>
        <w:rPr>
          <w:rFonts w:hint="eastAsia" w:ascii="楷体" w:hAnsi="楷体" w:eastAsia="楷体"/>
          <w:sz w:val="48"/>
          <w:szCs w:val="44"/>
          <w:lang w:val="en-US" w:eastAsia="zh-CN"/>
        </w:rPr>
        <w:t>二</w:t>
      </w:r>
      <w:r>
        <w:rPr>
          <w:rFonts w:hint="eastAsia" w:ascii="楷体" w:hAnsi="楷体" w:eastAsia="楷体"/>
          <w:sz w:val="48"/>
          <w:szCs w:val="44"/>
        </w:rPr>
        <w:t>年</w:t>
      </w:r>
      <w:r>
        <w:rPr>
          <w:rFonts w:hint="eastAsia" w:ascii="楷体" w:hAnsi="楷体" w:eastAsia="楷体"/>
          <w:sz w:val="48"/>
          <w:szCs w:val="44"/>
          <w:lang w:val="en-US" w:eastAsia="zh-CN"/>
        </w:rPr>
        <w:t>二</w:t>
      </w:r>
      <w:r>
        <w:rPr>
          <w:rFonts w:hint="eastAsia" w:ascii="楷体" w:hAnsi="楷体" w:eastAsia="楷体"/>
          <w:sz w:val="48"/>
          <w:szCs w:val="44"/>
        </w:rPr>
        <w:t>月</w:t>
      </w:r>
    </w:p>
    <w:p>
      <w:pPr>
        <w:jc w:val="center"/>
        <w:rPr>
          <w:rFonts w:ascii="楷体" w:hAnsi="楷体" w:eastAsia="楷体"/>
          <w:sz w:val="48"/>
          <w:szCs w:val="44"/>
          <w:highlight w:val="none"/>
          <w:lang w:eastAsia="zh-CN"/>
        </w:rPr>
      </w:pPr>
    </w:p>
    <w:p>
      <w:pPr>
        <w:jc w:val="center"/>
        <w:rPr>
          <w:rFonts w:hint="default" w:ascii="楷体" w:hAnsi="楷体" w:eastAsia="楷体"/>
          <w:sz w:val="48"/>
          <w:szCs w:val="44"/>
          <w:highlight w:val="none"/>
          <w:lang w:val="en-US" w:eastAsia="zh-CN"/>
        </w:rPr>
      </w:pPr>
    </w:p>
    <w:p>
      <w:pPr>
        <w:spacing w:line="300" w:lineRule="exact"/>
        <w:rPr>
          <w:rFonts w:ascii="Times New Roman" w:hAnsi="Times New Roman"/>
          <w:sz w:val="24"/>
          <w:szCs w:val="24"/>
          <w:highlight w:val="none"/>
          <w:lang w:eastAsia="zh-CN"/>
        </w:rPr>
      </w:pPr>
    </w:p>
    <w:sdt>
      <w:sdtPr>
        <w:rPr>
          <w:rFonts w:ascii="宋体" w:hAnsi="宋体"/>
          <w:sz w:val="21"/>
          <w:szCs w:val="20"/>
          <w:highlight w:val="none"/>
          <w:lang w:eastAsia="zh-CN"/>
        </w:rPr>
        <w:id w:val="462245790"/>
        <w:docPartObj>
          <w:docPartGallery w:val="Table of Contents"/>
          <w:docPartUnique/>
        </w:docPartObj>
      </w:sdtPr>
      <w:sdtEndPr>
        <w:rPr>
          <w:rFonts w:ascii="宋体" w:hAnsi="宋体"/>
          <w:b/>
          <w:bCs/>
          <w:sz w:val="20"/>
          <w:szCs w:val="20"/>
          <w:highlight w:val="none"/>
          <w:lang w:eastAsia="zh-CN"/>
        </w:rPr>
      </w:sdtEndPr>
      <w:sdtContent>
        <w:p>
          <w:pPr>
            <w:jc w:val="center"/>
            <w:rPr>
              <w:highlight w:val="none"/>
              <w:lang w:eastAsia="zh-CN"/>
            </w:rPr>
          </w:pPr>
          <w:bookmarkStart w:id="0" w:name="_Toc19657_WPSOffice_Type2"/>
          <w:r>
            <w:rPr>
              <w:rFonts w:ascii="宋体" w:hAnsi="宋体"/>
              <w:b/>
              <w:bCs/>
              <w:sz w:val="40"/>
              <w:szCs w:val="44"/>
              <w:highlight w:val="none"/>
              <w:lang w:eastAsia="zh-CN"/>
            </w:rPr>
            <w:t>目录</w:t>
          </w:r>
        </w:p>
        <w:bookmarkEnd w:id="0"/>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b/>
              <w:bCs/>
              <w:highlight w:val="none"/>
            </w:rPr>
            <w:fldChar w:fldCharType="begin"/>
          </w:r>
          <w:r>
            <w:rPr>
              <w:b/>
              <w:bCs/>
              <w:highlight w:val="none"/>
            </w:rPr>
            <w:instrText xml:space="preserve"> TOC \o "1-3" \h \z \u </w:instrText>
          </w:r>
          <w:r>
            <w:rPr>
              <w:b/>
              <w:bCs/>
              <w:highlight w:val="none"/>
            </w:rPr>
            <w:fldChar w:fldCharType="separate"/>
          </w:r>
          <w:r>
            <w:rPr>
              <w:highlight w:val="none"/>
            </w:rPr>
            <w:fldChar w:fldCharType="begin"/>
          </w:r>
          <w:r>
            <w:rPr>
              <w:highlight w:val="none"/>
            </w:rPr>
            <w:instrText xml:space="preserve"> HYPERLINK \l "_Toc24912735" </w:instrText>
          </w:r>
          <w:r>
            <w:rPr>
              <w:highlight w:val="none"/>
            </w:rPr>
            <w:fldChar w:fldCharType="separate"/>
          </w:r>
          <w:r>
            <w:rPr>
              <w:rStyle w:val="26"/>
              <w:rFonts w:ascii="宋体" w:hAnsi="宋体" w:cs="黑体"/>
              <w:b/>
              <w:bCs/>
              <w:sz w:val="24"/>
              <w:szCs w:val="24"/>
              <w:highlight w:val="none"/>
              <w:lang w:eastAsia="zh-CN"/>
            </w:rPr>
            <w:t>第一部分 前 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_Toc24912735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"_Toc24912736" </w:instrText>
          </w:r>
          <w:r>
            <w:rPr>
              <w:highlight w:val="none"/>
            </w:rPr>
            <w:fldChar w:fldCharType="separate"/>
          </w:r>
          <w:r>
            <w:rPr>
              <w:rStyle w:val="26"/>
              <w:rFonts w:ascii="宋体" w:hAnsi="宋体"/>
              <w:b/>
              <w:bCs/>
              <w:sz w:val="24"/>
              <w:szCs w:val="24"/>
              <w:highlight w:val="none"/>
              <w:lang w:eastAsia="zh-CN"/>
            </w:rPr>
            <w:t>1.1 编制说明</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_Toc24912736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"_Toc24912737" </w:instrText>
          </w:r>
          <w:r>
            <w:rPr>
              <w:highlight w:val="none"/>
            </w:rPr>
            <w:fldChar w:fldCharType="separate"/>
          </w:r>
          <w:r>
            <w:rPr>
              <w:rStyle w:val="26"/>
              <w:rFonts w:ascii="宋体" w:hAnsi="宋体"/>
              <w:b/>
              <w:bCs/>
              <w:sz w:val="24"/>
              <w:szCs w:val="24"/>
              <w:highlight w:val="none"/>
              <w:lang w:eastAsia="zh-CN"/>
            </w:rPr>
            <w:t>1.2 总经理致辞</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_Toc24912737 \h </w:instrText>
          </w:r>
          <w:r>
            <w:rPr>
              <w:rFonts w:ascii="宋体" w:hAnsi="宋体"/>
              <w:b/>
              <w:bCs/>
              <w:sz w:val="24"/>
              <w:szCs w:val="24"/>
              <w:highlight w:val="none"/>
            </w:rPr>
            <w:fldChar w:fldCharType="separate"/>
          </w:r>
          <w:r>
            <w:rPr>
              <w:rFonts w:ascii="宋体" w:hAnsi="宋体"/>
              <w:b/>
              <w:bCs/>
              <w:sz w:val="24"/>
              <w:szCs w:val="24"/>
              <w:highlight w:val="none"/>
            </w:rPr>
            <w:t>4</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"_Toc24912738" </w:instrText>
          </w:r>
          <w:r>
            <w:rPr>
              <w:highlight w:val="none"/>
            </w:rPr>
            <w:fldChar w:fldCharType="separate"/>
          </w:r>
          <w:r>
            <w:rPr>
              <w:rStyle w:val="26"/>
              <w:rFonts w:ascii="宋体" w:hAnsi="宋体"/>
              <w:b/>
              <w:bCs/>
              <w:sz w:val="24"/>
              <w:szCs w:val="24"/>
              <w:highlight w:val="none"/>
              <w:lang w:eastAsia="zh-CN"/>
            </w:rPr>
            <w:t>1.3 企业简介</w:t>
          </w:r>
          <w:r>
            <w:rPr>
              <w:rFonts w:ascii="宋体" w:hAnsi="宋体"/>
              <w:b/>
              <w:bCs/>
              <w:sz w:val="24"/>
              <w:szCs w:val="24"/>
              <w:highlight w:val="none"/>
            </w:rPr>
            <w:tab/>
          </w:r>
          <w:r>
            <w:rPr>
              <w:rFonts w:hint="eastAsia" w:ascii="宋体" w:hAnsi="宋体"/>
              <w:b/>
              <w:bCs/>
              <w:sz w:val="24"/>
              <w:szCs w:val="24"/>
              <w:highlight w:val="none"/>
              <w:lang w:eastAsia="zh-CN"/>
            </w:rPr>
            <w:t>5</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"_Toc24912739" </w:instrText>
          </w:r>
          <w:r>
            <w:rPr>
              <w:highlight w:val="none"/>
            </w:rPr>
            <w:fldChar w:fldCharType="separate"/>
          </w:r>
          <w:r>
            <w:rPr>
              <w:rStyle w:val="26"/>
              <w:rFonts w:ascii="宋体" w:hAnsi="宋体"/>
              <w:b/>
              <w:bCs/>
              <w:sz w:val="24"/>
              <w:szCs w:val="24"/>
              <w:highlight w:val="none"/>
              <w:lang w:eastAsia="zh-CN"/>
            </w:rPr>
            <w:t>第二部分 报告正文</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"_Toc24912740" </w:instrText>
          </w:r>
          <w:r>
            <w:rPr>
              <w:highlight w:val="none"/>
            </w:rPr>
            <w:fldChar w:fldCharType="separate"/>
          </w:r>
          <w:r>
            <w:rPr>
              <w:rStyle w:val="26"/>
              <w:rFonts w:ascii="宋体" w:hAnsi="宋体"/>
              <w:b/>
              <w:bCs/>
              <w:sz w:val="24"/>
              <w:szCs w:val="24"/>
              <w:highlight w:val="none"/>
              <w:lang w:eastAsia="zh-CN"/>
            </w:rPr>
            <w:t>第一章  质量理念</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"_Toc24912741" </w:instrText>
          </w:r>
          <w:r>
            <w:rPr>
              <w:highlight w:val="none"/>
            </w:rPr>
            <w:fldChar w:fldCharType="separate"/>
          </w:r>
          <w:r>
            <w:rPr>
              <w:rStyle w:val="26"/>
              <w:rFonts w:ascii="宋体" w:hAnsi="宋体"/>
              <w:b/>
              <w:bCs/>
              <w:spacing w:val="2"/>
              <w:sz w:val="24"/>
              <w:szCs w:val="24"/>
              <w:highlight w:val="none"/>
              <w:lang w:eastAsia="zh-CN"/>
            </w:rPr>
            <w:t>第二</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质量管</w:t>
          </w:r>
          <w:r>
            <w:rPr>
              <w:rStyle w:val="26"/>
              <w:rFonts w:ascii="宋体" w:hAnsi="宋体"/>
              <w:b/>
              <w:bCs/>
              <w:sz w:val="24"/>
              <w:szCs w:val="24"/>
              <w:highlight w:val="none"/>
              <w:lang w:eastAsia="zh-CN"/>
            </w:rPr>
            <w:t>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_Toc24912741 \h </w:instrText>
          </w:r>
          <w:r>
            <w:rPr>
              <w:rFonts w:ascii="宋体" w:hAnsi="宋体"/>
              <w:b/>
              <w:bCs/>
              <w:sz w:val="24"/>
              <w:szCs w:val="24"/>
              <w:highlight w:val="none"/>
            </w:rPr>
            <w:fldChar w:fldCharType="separate"/>
          </w:r>
          <w:r>
            <w:rPr>
              <w:rFonts w:ascii="宋体" w:hAnsi="宋体"/>
              <w:b/>
              <w:bCs/>
              <w:sz w:val="24"/>
              <w:szCs w:val="24"/>
              <w:highlight w:val="none"/>
            </w:rPr>
            <w:t>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"_Toc24912742" </w:instrText>
          </w:r>
          <w:r>
            <w:rPr>
              <w:highlight w:val="none"/>
            </w:rPr>
            <w:fldChar w:fldCharType="separate"/>
          </w:r>
          <w:r>
            <w:rPr>
              <w:rStyle w:val="26"/>
              <w:rFonts w:ascii="宋体" w:hAnsi="宋体"/>
              <w:b/>
              <w:bCs/>
              <w:spacing w:val="2"/>
              <w:sz w:val="24"/>
              <w:szCs w:val="24"/>
              <w:highlight w:val="none"/>
              <w:lang w:eastAsia="zh-CN"/>
            </w:rPr>
            <w:t>第三</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质量诚信管理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_Toc24912742 \h </w:instrText>
          </w:r>
          <w:r>
            <w:rPr>
              <w:rFonts w:ascii="宋体" w:hAnsi="宋体"/>
              <w:b/>
              <w:bCs/>
              <w:sz w:val="24"/>
              <w:szCs w:val="24"/>
              <w:highlight w:val="none"/>
            </w:rPr>
            <w:fldChar w:fldCharType="separate"/>
          </w:r>
          <w:r>
            <w:rPr>
              <w:rFonts w:ascii="宋体" w:hAnsi="宋体"/>
              <w:b/>
              <w:bCs/>
              <w:sz w:val="24"/>
              <w:szCs w:val="24"/>
              <w:highlight w:val="none"/>
            </w:rPr>
            <w:t>11</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"_Toc24912743" </w:instrText>
          </w:r>
          <w:r>
            <w:rPr>
              <w:highlight w:val="none"/>
            </w:rPr>
            <w:fldChar w:fldCharType="separate"/>
          </w:r>
          <w:r>
            <w:rPr>
              <w:rStyle w:val="26"/>
              <w:rFonts w:ascii="宋体" w:hAnsi="宋体" w:cs="黑体"/>
              <w:b/>
              <w:bCs/>
              <w:sz w:val="24"/>
              <w:szCs w:val="24"/>
              <w:highlight w:val="none"/>
              <w:lang w:eastAsia="zh-CN"/>
            </w:rPr>
            <w:t>第四章  质量管理基础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_Toc24912743 \h </w:instrText>
          </w:r>
          <w:r>
            <w:rPr>
              <w:rFonts w:ascii="宋体" w:hAnsi="宋体"/>
              <w:b/>
              <w:bCs/>
              <w:sz w:val="24"/>
              <w:szCs w:val="24"/>
              <w:highlight w:val="none"/>
            </w:rPr>
            <w:fldChar w:fldCharType="separate"/>
          </w:r>
          <w:r>
            <w:rPr>
              <w:rFonts w:ascii="宋体" w:hAnsi="宋体"/>
              <w:b/>
              <w:bCs/>
              <w:sz w:val="24"/>
              <w:szCs w:val="24"/>
              <w:highlight w:val="none"/>
            </w:rPr>
            <w:t>17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"_Toc24912744" </w:instrText>
          </w:r>
          <w:r>
            <w:rPr>
              <w:highlight w:val="none"/>
            </w:rPr>
            <w:fldChar w:fldCharType="separate"/>
          </w:r>
          <w:r>
            <w:rPr>
              <w:rStyle w:val="26"/>
              <w:rFonts w:ascii="宋体" w:hAnsi="宋体"/>
              <w:b/>
              <w:bCs/>
              <w:spacing w:val="2"/>
              <w:sz w:val="24"/>
              <w:szCs w:val="24"/>
              <w:highlight w:val="none"/>
              <w:lang w:eastAsia="zh-CN"/>
            </w:rPr>
            <w:t>第五</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产品质</w:t>
          </w:r>
          <w:r>
            <w:rPr>
              <w:rStyle w:val="26"/>
              <w:rFonts w:ascii="宋体" w:hAnsi="宋体"/>
              <w:b/>
              <w:bCs/>
              <w:sz w:val="24"/>
              <w:szCs w:val="24"/>
              <w:highlight w:val="none"/>
              <w:lang w:eastAsia="zh-CN"/>
            </w:rPr>
            <w:t>量</w:t>
          </w:r>
          <w:r>
            <w:rPr>
              <w:rStyle w:val="26"/>
              <w:rFonts w:ascii="宋体" w:hAnsi="宋体"/>
              <w:b/>
              <w:bCs/>
              <w:spacing w:val="2"/>
              <w:sz w:val="24"/>
              <w:szCs w:val="24"/>
              <w:highlight w:val="none"/>
              <w:lang w:eastAsia="zh-CN"/>
            </w:rPr>
            <w:t>责</w:t>
          </w:r>
          <w:r>
            <w:rPr>
              <w:rStyle w:val="26"/>
              <w:rFonts w:ascii="宋体" w:hAnsi="宋体"/>
              <w:b/>
              <w:bCs/>
              <w:sz w:val="24"/>
              <w:szCs w:val="24"/>
              <w:highlight w:val="none"/>
              <w:lang w:eastAsia="zh-CN"/>
            </w:rPr>
            <w:t>任</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_Toc24912744 \h </w:instrText>
          </w:r>
          <w:r>
            <w:rPr>
              <w:rFonts w:ascii="宋体" w:hAnsi="宋体"/>
              <w:b/>
              <w:bCs/>
              <w:sz w:val="24"/>
              <w:szCs w:val="24"/>
              <w:highlight w:val="none"/>
            </w:rPr>
            <w:fldChar w:fldCharType="separate"/>
          </w:r>
          <w:r>
            <w:rPr>
              <w:rFonts w:ascii="宋体" w:hAnsi="宋体"/>
              <w:b/>
              <w:bCs/>
              <w:sz w:val="24"/>
              <w:szCs w:val="24"/>
              <w:highlight w:val="none"/>
            </w:rPr>
            <w:t>19</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left" w:pos="1540"/>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"_Toc24912745" </w:instrText>
          </w:r>
          <w:r>
            <w:rPr>
              <w:highlight w:val="none"/>
            </w:rPr>
            <w:fldChar w:fldCharType="separate"/>
          </w:r>
          <w:r>
            <w:rPr>
              <w:rStyle w:val="26"/>
              <w:rFonts w:ascii="宋体" w:hAnsi="宋体"/>
              <w:b/>
              <w:bCs/>
              <w:sz w:val="24"/>
              <w:szCs w:val="24"/>
              <w:highlight w:val="none"/>
              <w:lang w:eastAsia="zh-CN"/>
            </w:rPr>
            <w:t>第三部分 结</w:t>
          </w:r>
          <w:r>
            <w:rPr>
              <w:rFonts w:ascii="宋体" w:hAnsi="宋体" w:cstheme="minorBidi"/>
              <w:b/>
              <w:bCs/>
              <w:smallCaps w:val="0"/>
              <w:kern w:val="2"/>
              <w:sz w:val="24"/>
              <w:szCs w:val="24"/>
              <w:highlight w:val="none"/>
              <w:lang w:eastAsia="zh-CN"/>
            </w:rPr>
            <w:tab/>
          </w:r>
          <w:r>
            <w:rPr>
              <w:rStyle w:val="26"/>
              <w:rFonts w:ascii="宋体" w:hAnsi="宋体"/>
              <w:b/>
              <w:bCs/>
              <w:sz w:val="24"/>
              <w:szCs w:val="24"/>
              <w:highlight w:val="none"/>
              <w:lang w:eastAsia="zh-CN"/>
            </w:rPr>
            <w:t>语</w:t>
          </w:r>
          <w:r>
            <w:rPr>
              <w:rFonts w:ascii="宋体" w:hAnsi="宋体"/>
              <w:b/>
              <w:bCs/>
              <w:sz w:val="24"/>
              <w:szCs w:val="24"/>
              <w:highlight w:val="none"/>
            </w:rPr>
            <w:tab/>
          </w:r>
          <w:r>
            <w:rPr>
              <w:rFonts w:hint="eastAsia" w:ascii="宋体" w:hAnsi="宋体"/>
              <w:b/>
              <w:bCs/>
              <w:sz w:val="24"/>
              <w:szCs w:val="24"/>
              <w:highlight w:val="none"/>
              <w:lang w:eastAsia="zh-CN"/>
            </w:rPr>
            <w:t>2</w:t>
          </w:r>
          <w:r>
            <w:rPr>
              <w:rFonts w:hint="eastAsia" w:ascii="宋体" w:hAnsi="宋体"/>
              <w:b/>
              <w:bCs/>
              <w:sz w:val="24"/>
              <w:szCs w:val="24"/>
              <w:highlight w:val="none"/>
              <w:lang w:eastAsia="zh-CN"/>
            </w:rPr>
            <w:fldChar w:fldCharType="end"/>
          </w:r>
          <w:r>
            <w:rPr>
              <w:rFonts w:hint="eastAsia" w:ascii="宋体" w:hAnsi="宋体"/>
              <w:b/>
              <w:bCs/>
              <w:sz w:val="24"/>
              <w:szCs w:val="24"/>
              <w:highlight w:val="none"/>
              <w:lang w:eastAsia="zh-CN"/>
            </w:rPr>
            <w:t>3</w:t>
          </w:r>
        </w:p>
        <w:p>
          <w:pPr>
            <w:pStyle w:val="51"/>
            <w:tabs>
              <w:tab w:val="right" w:leader="dot" w:pos="9407"/>
            </w:tabs>
            <w:spacing w:line="360" w:lineRule="auto"/>
            <w:rPr>
              <w:b/>
              <w:bCs/>
              <w:highlight w:val="none"/>
            </w:rPr>
          </w:pPr>
          <w:r>
            <w:rPr>
              <w:b/>
              <w:bCs/>
              <w:highlight w:val="none"/>
            </w:rPr>
            <w:fldChar w:fldCharType="end"/>
          </w:r>
        </w:p>
      </w:sdtContent>
    </w:sdt>
    <w:p>
      <w:pPr>
        <w:spacing w:line="360" w:lineRule="auto"/>
        <w:jc w:val="center"/>
        <w:rPr>
          <w:rFonts w:ascii="Times New Roman" w:hAnsi="Times New Roman"/>
          <w:sz w:val="24"/>
          <w:szCs w:val="24"/>
          <w:highlight w:val="none"/>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highlight w:val="none"/>
          <w:lang w:eastAsia="zh-CN"/>
        </w:rPr>
      </w:pPr>
    </w:p>
    <w:p>
      <w:pPr>
        <w:pStyle w:val="5"/>
        <w:numPr>
          <w:ilvl w:val="0"/>
          <w:numId w:val="1"/>
        </w:numPr>
        <w:spacing w:line="360" w:lineRule="auto"/>
        <w:jc w:val="center"/>
        <w:outlineLvl w:val="1"/>
        <w:rPr>
          <w:rFonts w:cs="黑体"/>
          <w:b/>
          <w:bCs/>
          <w:sz w:val="32"/>
          <w:szCs w:val="32"/>
          <w:highlight w:val="none"/>
          <w:lang w:eastAsia="zh-CN"/>
        </w:rPr>
      </w:pPr>
      <w:bookmarkStart w:id="1" w:name="_Toc3480_WPSOffice_Level1"/>
      <w:bookmarkStart w:id="2" w:name="_Toc24912735"/>
      <w:r>
        <w:rPr>
          <w:rFonts w:hint="eastAsia" w:cs="黑体"/>
          <w:b/>
          <w:bCs/>
          <w:sz w:val="32"/>
          <w:szCs w:val="32"/>
          <w:highlight w:val="none"/>
          <w:lang w:eastAsia="zh-CN"/>
        </w:rPr>
        <w:t>前 言</w:t>
      </w:r>
      <w:bookmarkEnd w:id="1"/>
      <w:bookmarkEnd w:id="2"/>
    </w:p>
    <w:p>
      <w:pPr>
        <w:pStyle w:val="5"/>
        <w:spacing w:line="360" w:lineRule="auto"/>
        <w:ind w:left="0"/>
        <w:jc w:val="both"/>
        <w:rPr>
          <w:rFonts w:ascii="黑体" w:hAnsi="黑体" w:eastAsia="黑体" w:cs="黑体"/>
          <w:b/>
          <w:bCs/>
          <w:sz w:val="32"/>
          <w:szCs w:val="32"/>
          <w:highlight w:val="none"/>
          <w:lang w:eastAsia="zh-CN"/>
        </w:rPr>
      </w:pPr>
    </w:p>
    <w:p>
      <w:pPr>
        <w:pStyle w:val="5"/>
        <w:numPr>
          <w:ilvl w:val="1"/>
          <w:numId w:val="2"/>
        </w:numPr>
        <w:spacing w:line="360" w:lineRule="auto"/>
        <w:jc w:val="center"/>
        <w:outlineLvl w:val="1"/>
        <w:rPr>
          <w:b/>
          <w:bCs/>
          <w:sz w:val="28"/>
          <w:szCs w:val="28"/>
          <w:highlight w:val="none"/>
          <w:lang w:eastAsia="zh-CN"/>
        </w:rPr>
      </w:pPr>
      <w:bookmarkStart w:id="3" w:name="_Toc24912736"/>
      <w:bookmarkStart w:id="4" w:name="_Toc19657_WPSOffice_Level2"/>
      <w:r>
        <w:rPr>
          <w:rFonts w:hint="eastAsia"/>
          <w:b/>
          <w:bCs/>
          <w:sz w:val="28"/>
          <w:szCs w:val="28"/>
          <w:highlight w:val="none"/>
          <w:lang w:eastAsia="zh-CN"/>
        </w:rPr>
        <w:t>编制说明</w:t>
      </w:r>
      <w:bookmarkEnd w:id="3"/>
      <w:bookmarkEnd w:id="4"/>
    </w:p>
    <w:p>
      <w:pPr>
        <w:pStyle w:val="5"/>
        <w:spacing w:line="360" w:lineRule="auto"/>
        <w:ind w:left="0"/>
        <w:jc w:val="both"/>
        <w:rPr>
          <w:b/>
          <w:bCs/>
          <w:sz w:val="28"/>
          <w:szCs w:val="28"/>
          <w:highlight w:val="none"/>
          <w:lang w:eastAsia="zh-CN"/>
        </w:rPr>
      </w:pPr>
    </w:p>
    <w:p>
      <w:pPr>
        <w:pStyle w:val="5"/>
        <w:spacing w:line="360" w:lineRule="auto"/>
        <w:ind w:left="229" w:right="451" w:firstLine="520"/>
        <w:jc w:val="both"/>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本公司</w:t>
      </w:r>
      <w:r>
        <w:rPr>
          <w:rFonts w:hint="eastAsia" w:asciiTheme="minorEastAsia" w:hAnsiTheme="minorEastAsia" w:eastAsiaTheme="minorEastAsia" w:cstheme="minorEastAsia"/>
          <w:spacing w:val="1"/>
          <w:w w:val="95"/>
          <w:sz w:val="28"/>
          <w:szCs w:val="28"/>
          <w:highlight w:val="none"/>
          <w:lang w:eastAsia="zh-CN"/>
        </w:rPr>
        <w:t>出</w:t>
      </w:r>
      <w:r>
        <w:rPr>
          <w:rFonts w:hint="eastAsia" w:asciiTheme="minorEastAsia" w:hAnsiTheme="minorEastAsia" w:eastAsiaTheme="minorEastAsia" w:cstheme="minorEastAsia"/>
          <w:w w:val="95"/>
          <w:sz w:val="28"/>
          <w:szCs w:val="28"/>
          <w:highlight w:val="none"/>
          <w:lang w:eastAsia="zh-CN"/>
        </w:rPr>
        <w:t>具的</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w:t>
      </w:r>
      <w:r>
        <w:rPr>
          <w:rFonts w:hint="eastAsia" w:asciiTheme="minorEastAsia" w:hAnsiTheme="minorEastAsia" w:eastAsiaTheme="minorEastAsia" w:cstheme="minorEastAsia"/>
          <w:spacing w:val="1"/>
          <w:w w:val="95"/>
          <w:sz w:val="28"/>
          <w:szCs w:val="28"/>
          <w:highlight w:val="none"/>
          <w:lang w:eastAsia="zh-CN"/>
        </w:rPr>
        <w:t>诚</w:t>
      </w:r>
      <w:r>
        <w:rPr>
          <w:rFonts w:hint="eastAsia" w:asciiTheme="minorEastAsia" w:hAnsiTheme="minorEastAsia" w:eastAsiaTheme="minorEastAsia" w:cstheme="minorEastAsia"/>
          <w:w w:val="95"/>
          <w:sz w:val="28"/>
          <w:szCs w:val="28"/>
          <w:highlight w:val="none"/>
          <w:lang w:eastAsia="zh-CN"/>
        </w:rPr>
        <w:t>信报告</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依据</w:t>
      </w:r>
      <w:r>
        <w:rPr>
          <w:rFonts w:hint="eastAsia" w:asciiTheme="minorEastAsia" w:hAnsiTheme="minorEastAsia" w:eastAsiaTheme="minorEastAsia" w:cstheme="minorEastAsia"/>
          <w:spacing w:val="1"/>
          <w:w w:val="95"/>
          <w:sz w:val="28"/>
          <w:szCs w:val="28"/>
          <w:highlight w:val="none"/>
          <w:lang w:eastAsia="zh-CN"/>
        </w:rPr>
        <w:t>国家</w:t>
      </w:r>
      <w:r>
        <w:rPr>
          <w:rFonts w:hint="eastAsia" w:asciiTheme="minorEastAsia" w:hAnsiTheme="minorEastAsia" w:eastAsiaTheme="minorEastAsia" w:cstheme="minorEastAsia"/>
          <w:w w:val="95"/>
          <w:sz w:val="28"/>
          <w:szCs w:val="28"/>
          <w:highlight w:val="none"/>
          <w:lang w:eastAsia="zh-CN"/>
        </w:rPr>
        <w:t>有关质</w:t>
      </w:r>
      <w:r>
        <w:rPr>
          <w:rFonts w:hint="eastAsia" w:asciiTheme="minorEastAsia" w:hAnsiTheme="minorEastAsia" w:eastAsiaTheme="minorEastAsia" w:cstheme="minorEastAsia"/>
          <w:spacing w:val="1"/>
          <w:w w:val="95"/>
          <w:sz w:val="28"/>
          <w:szCs w:val="28"/>
          <w:highlight w:val="none"/>
          <w:lang w:eastAsia="zh-CN"/>
        </w:rPr>
        <w:t>量</w:t>
      </w:r>
      <w:r>
        <w:rPr>
          <w:rFonts w:hint="eastAsia" w:asciiTheme="minorEastAsia" w:hAnsiTheme="minorEastAsia" w:eastAsiaTheme="minorEastAsia" w:cstheme="minorEastAsia"/>
          <w:w w:val="95"/>
          <w:sz w:val="28"/>
          <w:szCs w:val="28"/>
          <w:highlight w:val="none"/>
          <w:lang w:eastAsia="zh-CN"/>
        </w:rPr>
        <w:t>法律</w:t>
      </w:r>
      <w:r>
        <w:rPr>
          <w:rFonts w:hint="eastAsia" w:asciiTheme="minorEastAsia" w:hAnsiTheme="minorEastAsia" w:eastAsiaTheme="minorEastAsia" w:cstheme="minorEastAsia"/>
          <w:spacing w:val="1"/>
          <w:w w:val="95"/>
          <w:sz w:val="28"/>
          <w:szCs w:val="28"/>
          <w:highlight w:val="none"/>
          <w:lang w:eastAsia="zh-CN"/>
        </w:rPr>
        <w:t>法规</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规章及相关行业</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量标</w:t>
      </w:r>
      <w:r>
        <w:rPr>
          <w:rFonts w:hint="eastAsia" w:asciiTheme="minorEastAsia" w:hAnsiTheme="minorEastAsia" w:eastAsiaTheme="minorEastAsia" w:cstheme="minorEastAsia"/>
          <w:spacing w:val="1"/>
          <w:w w:val="95"/>
          <w:sz w:val="28"/>
          <w:szCs w:val="28"/>
          <w:highlight w:val="none"/>
          <w:lang w:eastAsia="zh-CN"/>
        </w:rPr>
        <w:t>准</w:t>
      </w:r>
      <w:r>
        <w:rPr>
          <w:rFonts w:hint="eastAsia" w:asciiTheme="minorEastAsia" w:hAnsiTheme="minorEastAsia" w:eastAsiaTheme="minorEastAsia" w:cstheme="minorEastAsia"/>
          <w:spacing w:val="-54"/>
          <w:w w:val="95"/>
          <w:sz w:val="28"/>
          <w:szCs w:val="28"/>
          <w:highlight w:val="none"/>
          <w:lang w:eastAsia="zh-CN"/>
        </w:rPr>
        <w:t>、</w:t>
      </w:r>
      <w:r>
        <w:rPr>
          <w:rFonts w:hint="eastAsia" w:asciiTheme="minorEastAsia" w:hAnsiTheme="minorEastAsia" w:eastAsiaTheme="minorEastAsia" w:cstheme="minorEastAsia"/>
          <w:spacing w:val="1"/>
          <w:w w:val="95"/>
          <w:sz w:val="28"/>
          <w:szCs w:val="28"/>
          <w:highlight w:val="none"/>
          <w:lang w:eastAsia="zh-CN"/>
        </w:rPr>
        <w:t>规</w:t>
      </w:r>
      <w:r>
        <w:rPr>
          <w:rFonts w:hint="eastAsia" w:asciiTheme="minorEastAsia" w:hAnsiTheme="minorEastAsia" w:eastAsiaTheme="minorEastAsia" w:cstheme="minorEastAsia"/>
          <w:w w:val="95"/>
          <w:sz w:val="28"/>
          <w:szCs w:val="28"/>
          <w:highlight w:val="none"/>
          <w:lang w:eastAsia="zh-CN"/>
        </w:rPr>
        <w:t>范等进</w:t>
      </w:r>
      <w:r>
        <w:rPr>
          <w:rFonts w:hint="eastAsia" w:asciiTheme="minorEastAsia" w:hAnsiTheme="minorEastAsia" w:eastAsiaTheme="minorEastAsia" w:cstheme="minorEastAsia"/>
          <w:spacing w:val="1"/>
          <w:w w:val="95"/>
          <w:sz w:val="28"/>
          <w:szCs w:val="28"/>
          <w:highlight w:val="none"/>
          <w:lang w:eastAsia="zh-CN"/>
        </w:rPr>
        <w:t>行</w:t>
      </w:r>
      <w:r>
        <w:rPr>
          <w:rFonts w:hint="eastAsia" w:asciiTheme="minorEastAsia" w:hAnsiTheme="minorEastAsia" w:eastAsiaTheme="minorEastAsia" w:cstheme="minorEastAsia"/>
          <w:w w:val="95"/>
          <w:sz w:val="28"/>
          <w:szCs w:val="28"/>
          <w:highlight w:val="none"/>
          <w:lang w:eastAsia="zh-CN"/>
        </w:rPr>
        <w:t>编制</w:t>
      </w:r>
      <w:r>
        <w:rPr>
          <w:rFonts w:hint="eastAsia" w:asciiTheme="minorEastAsia" w:hAnsiTheme="minorEastAsia" w:eastAsiaTheme="minorEastAsia" w:cstheme="minorEastAsia"/>
          <w:spacing w:val="-51"/>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报</w:t>
      </w:r>
      <w:r>
        <w:rPr>
          <w:rFonts w:hint="eastAsia" w:asciiTheme="minorEastAsia" w:hAnsiTheme="minorEastAsia" w:eastAsiaTheme="minorEastAsia" w:cstheme="minorEastAsia"/>
          <w:spacing w:val="1"/>
          <w:w w:val="95"/>
          <w:sz w:val="28"/>
          <w:szCs w:val="28"/>
          <w:highlight w:val="none"/>
          <w:lang w:eastAsia="zh-CN"/>
        </w:rPr>
        <w:t>告</w:t>
      </w:r>
      <w:r>
        <w:rPr>
          <w:rFonts w:hint="eastAsia" w:asciiTheme="minorEastAsia" w:hAnsiTheme="minorEastAsia" w:eastAsiaTheme="minorEastAsia" w:cstheme="minorEastAsia"/>
          <w:w w:val="95"/>
          <w:sz w:val="28"/>
          <w:szCs w:val="28"/>
          <w:highlight w:val="none"/>
          <w:lang w:eastAsia="zh-CN"/>
        </w:rPr>
        <w:t>中关于公司质量诚信和质量管理情况是公司现状的真实反映，本公司对报告内容的客观性负责，对相关论述和结论真实性负责，现将有关情况说明如下：</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报告范围：温州迪科阀门科技有限公司</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报告时间：20</w:t>
      </w:r>
      <w:r>
        <w:rPr>
          <w:rFonts w:hint="eastAsia" w:asciiTheme="minorEastAsia" w:hAnsiTheme="minorEastAsia" w:eastAsiaTheme="minorEastAsia" w:cstheme="minorEastAsia"/>
          <w:w w:val="95"/>
          <w:sz w:val="28"/>
          <w:szCs w:val="28"/>
          <w:highlight w:val="none"/>
          <w:lang w:val="en-US" w:eastAsia="zh-CN"/>
        </w:rPr>
        <w:t>21</w:t>
      </w:r>
      <w:r>
        <w:rPr>
          <w:rFonts w:hint="eastAsia" w:asciiTheme="minorEastAsia" w:hAnsiTheme="minorEastAsia" w:eastAsiaTheme="minorEastAsia" w:cstheme="minorEastAsia"/>
          <w:w w:val="95"/>
          <w:sz w:val="28"/>
          <w:szCs w:val="28"/>
          <w:highlight w:val="none"/>
          <w:lang w:eastAsia="zh-CN"/>
        </w:rPr>
        <w:t>年１月至20</w:t>
      </w:r>
      <w:r>
        <w:rPr>
          <w:rFonts w:hint="eastAsia" w:asciiTheme="minorEastAsia" w:hAnsiTheme="minorEastAsia" w:eastAsiaTheme="minorEastAsia" w:cstheme="minorEastAsia"/>
          <w:w w:val="95"/>
          <w:sz w:val="28"/>
          <w:szCs w:val="28"/>
          <w:highlight w:val="none"/>
          <w:lang w:val="en-US" w:eastAsia="zh-CN"/>
        </w:rPr>
        <w:t>21</w:t>
      </w:r>
      <w:r>
        <w:rPr>
          <w:rFonts w:hint="eastAsia" w:asciiTheme="minorEastAsia" w:hAnsiTheme="minorEastAsia" w:eastAsiaTheme="minorEastAsia" w:cstheme="minorEastAsia"/>
          <w:w w:val="95"/>
          <w:sz w:val="28"/>
          <w:szCs w:val="28"/>
          <w:highlight w:val="none"/>
          <w:lang w:eastAsia="zh-CN"/>
        </w:rPr>
        <w:t>年12月，部分数据超出以上时间以实际为准</w:t>
      </w:r>
    </w:p>
    <w:p>
      <w:pPr>
        <w:pStyle w:val="5"/>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（3）报告发布周期：一年</w:t>
      </w:r>
    </w:p>
    <w:p>
      <w:pPr>
        <w:pStyle w:val="5"/>
        <w:spacing w:line="360" w:lineRule="auto"/>
        <w:ind w:left="0" w:firstLine="266" w:firstLineChars="100"/>
        <w:rPr>
          <w:rFonts w:hint="eastAsia" w:asciiTheme="minorEastAsia" w:hAnsiTheme="minorEastAsia" w:eastAsiaTheme="minorEastAsia" w:cstheme="minorEastAsia"/>
          <w:spacing w:val="1"/>
          <w:w w:val="95"/>
          <w:sz w:val="28"/>
          <w:szCs w:val="28"/>
          <w:highlight w:val="none"/>
          <w:lang w:val="en-US" w:eastAsia="zh-CN"/>
        </w:rPr>
        <w:sectPr>
          <w:pgSz w:w="11907" w:h="16840"/>
          <w:pgMar w:top="1540" w:right="1100" w:bottom="1160" w:left="1300" w:header="849" w:footer="979" w:gutter="0"/>
          <w:cols w:space="720" w:num="1"/>
        </w:sectPr>
      </w:pPr>
      <w:r>
        <w:rPr>
          <w:rFonts w:hint="eastAsia" w:asciiTheme="minorEastAsia" w:hAnsiTheme="minorEastAsia" w:eastAsiaTheme="minorEastAsia" w:cstheme="minorEastAsia"/>
          <w:w w:val="95"/>
          <w:sz w:val="28"/>
          <w:szCs w:val="28"/>
          <w:highlight w:val="none"/>
          <w:lang w:eastAsia="zh-CN"/>
        </w:rPr>
        <w:t>（4）报告获取方式：通</w:t>
      </w:r>
      <w:r>
        <w:rPr>
          <w:rFonts w:hint="eastAsia" w:asciiTheme="minorEastAsia" w:hAnsiTheme="minorEastAsia" w:eastAsiaTheme="minorEastAsia" w:cstheme="minorEastAsia"/>
          <w:spacing w:val="1"/>
          <w:w w:val="95"/>
          <w:sz w:val="28"/>
          <w:szCs w:val="28"/>
          <w:highlight w:val="none"/>
          <w:lang w:eastAsia="zh-CN"/>
        </w:rPr>
        <w:t>过</w:t>
      </w:r>
      <w:r>
        <w:rPr>
          <w:rFonts w:hint="eastAsia" w:asciiTheme="minorEastAsia" w:hAnsiTheme="minorEastAsia" w:eastAsiaTheme="minorEastAsia" w:cstheme="minorEastAsia"/>
          <w:w w:val="95"/>
          <w:sz w:val="28"/>
          <w:szCs w:val="28"/>
          <w:highlight w:val="none"/>
          <w:lang w:eastAsia="zh-CN"/>
        </w:rPr>
        <w:t>公司</w:t>
      </w:r>
      <w:r>
        <w:rPr>
          <w:rFonts w:hint="eastAsia" w:asciiTheme="minorEastAsia" w:hAnsiTheme="minorEastAsia" w:eastAsiaTheme="minorEastAsia" w:cstheme="minorEastAsia"/>
          <w:spacing w:val="1"/>
          <w:w w:val="95"/>
          <w:sz w:val="28"/>
          <w:szCs w:val="28"/>
          <w:highlight w:val="none"/>
          <w:lang w:val="en-US" w:eastAsia="zh-CN"/>
        </w:rPr>
        <w:t>网站 ：http://</w:t>
      </w:r>
      <w:r>
        <w:rPr>
          <w:rFonts w:hint="eastAsia" w:asciiTheme="minorEastAsia" w:hAnsiTheme="minorEastAsia" w:eastAsiaTheme="minorEastAsia" w:cstheme="minorEastAsia"/>
          <w:spacing w:val="1"/>
          <w:w w:val="95"/>
          <w:sz w:val="28"/>
          <w:szCs w:val="28"/>
          <w:highlight w:val="none"/>
          <w:lang w:val="en-US" w:eastAsia="zh-CN"/>
        </w:rPr>
        <w:fldChar w:fldCharType="begin"/>
      </w:r>
      <w:r>
        <w:rPr>
          <w:rFonts w:hint="eastAsia" w:asciiTheme="minorEastAsia" w:hAnsiTheme="minorEastAsia" w:eastAsiaTheme="minorEastAsia" w:cstheme="minorEastAsia"/>
          <w:spacing w:val="1"/>
          <w:w w:val="95"/>
          <w:sz w:val="28"/>
          <w:szCs w:val="28"/>
          <w:highlight w:val="none"/>
          <w:lang w:val="en-US" w:eastAsia="zh-CN"/>
        </w:rPr>
        <w:instrText xml:space="preserve"> HYPERLINK "https://www.qcc.com/web/transfer-link?link=http://www.dicovalve.com" \t "https://www.qcc.com/cassets/_blank" </w:instrText>
      </w:r>
      <w:r>
        <w:rPr>
          <w:rFonts w:hint="eastAsia" w:asciiTheme="minorEastAsia" w:hAnsiTheme="minorEastAsia" w:eastAsiaTheme="minorEastAsia" w:cstheme="minorEastAsia"/>
          <w:spacing w:val="1"/>
          <w:w w:val="95"/>
          <w:sz w:val="28"/>
          <w:szCs w:val="28"/>
          <w:highlight w:val="none"/>
          <w:lang w:val="en-US" w:eastAsia="zh-CN"/>
        </w:rPr>
        <w:fldChar w:fldCharType="separate"/>
      </w:r>
      <w:r>
        <w:rPr>
          <w:rFonts w:hint="eastAsia" w:asciiTheme="minorEastAsia" w:hAnsiTheme="minorEastAsia" w:eastAsiaTheme="minorEastAsia" w:cstheme="minorEastAsia"/>
          <w:spacing w:val="1"/>
          <w:w w:val="95"/>
          <w:sz w:val="28"/>
          <w:szCs w:val="28"/>
          <w:highlight w:val="none"/>
          <w:lang w:val="en-US" w:eastAsia="zh-CN"/>
        </w:rPr>
        <w:t>www.dicovalve.com</w:t>
      </w:r>
      <w:r>
        <w:rPr>
          <w:rFonts w:hint="eastAsia" w:asciiTheme="minorEastAsia" w:hAnsiTheme="minorEastAsia" w:eastAsiaTheme="minorEastAsia" w:cstheme="minorEastAsia"/>
          <w:spacing w:val="1"/>
          <w:w w:val="95"/>
          <w:sz w:val="28"/>
          <w:szCs w:val="28"/>
          <w:highlight w:val="none"/>
          <w:lang w:val="en-US" w:eastAsia="zh-CN"/>
        </w:rPr>
        <w:fldChar w:fldCharType="end"/>
      </w:r>
    </w:p>
    <w:p>
      <w:pPr>
        <w:pStyle w:val="5"/>
        <w:numPr>
          <w:ilvl w:val="1"/>
          <w:numId w:val="2"/>
        </w:numPr>
        <w:spacing w:before="720" w:beforeLines="300" w:line="360" w:lineRule="auto"/>
        <w:jc w:val="center"/>
        <w:outlineLvl w:val="1"/>
        <w:rPr>
          <w:b/>
          <w:bCs/>
          <w:sz w:val="28"/>
          <w:szCs w:val="28"/>
          <w:highlight w:val="none"/>
          <w:lang w:eastAsia="zh-CN"/>
        </w:rPr>
      </w:pPr>
      <w:bookmarkStart w:id="5" w:name="_Toc24912737"/>
      <w:r>
        <w:rPr>
          <w:b/>
          <w:bCs/>
          <w:sz w:val="28"/>
          <w:szCs w:val="28"/>
          <w:highlight w:val="none"/>
          <w:lang w:eastAsia="zh-CN"/>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10620375</wp:posOffset>
                </wp:positionV>
                <wp:extent cx="7547610"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6"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7216;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KC+tdkAAAALAQAADwAAAAAAAAABACAAAAAiAAAAZHJzL2Rvd25yZXYueG1sUEsBAhQAFAAAAAgA&#10;h07iQMKkgwSWAgAAswUAAA4AAAAAAAAAAQAgAAAAKAEAAGRycy9lMm9Eb2MueG1sUEsFBgAAAAAG&#10;AAYAWQEAADAGAAAAAA==&#10;">
                <o:lock v:ext="edit" aspectratio="f"/>
                <v:shape id="任意多边形 3" o:spid="_x0000_s1026" o:spt="100" style="position:absolute;left:0;top:16725;height:2;width:11886;" filled="f" stroked="t" coordsize="11886,1" o:gfxdata="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2/srsAAADa&#10;AAAADwAAAAAAAAABACAAAAAiAAAAZHJzL2Rvd25yZXYueG1sUEsBAhQAFAAAAAgAh07iQDMvBZ47&#10;AAAAOQAAABAAAAAAAAAAAQAgAAAACgEAAGRycy9zaGFwZXhtbC54bWxQSwUGAAAAAAYABgBbAQAA&#10;tAMAAAAA&#10;" path="m0,0l11886,0e">
                  <v:fill on="f" focussize="0,0"/>
                  <v:stroke weight="0.479842519685039pt" color="#1C1C18" joinstyle="round"/>
                  <v:imagedata o:title=""/>
                  <o:lock v:ext="edit" aspectratio="f"/>
                </v:shape>
              </v:group>
            </w:pict>
          </mc:Fallback>
        </mc:AlternateContent>
      </w:r>
      <w:r>
        <w:rPr>
          <w:rFonts w:hint="eastAsia"/>
          <w:b/>
          <w:bCs/>
          <w:sz w:val="28"/>
          <w:szCs w:val="28"/>
          <w:highlight w:val="none"/>
          <w:lang w:eastAsia="zh-CN"/>
        </w:rPr>
        <w:t>总经理致辞</w:t>
      </w:r>
      <w:bookmarkEnd w:id="5"/>
    </w:p>
    <w:p>
      <w:pPr>
        <w:pStyle w:val="30"/>
        <w:spacing w:line="381" w:lineRule="exact"/>
        <w:ind w:hanging="560"/>
        <w:jc w:val="center"/>
        <w:rPr>
          <w:bCs/>
          <w:highlight w:val="none"/>
          <w:lang w:eastAsia="zh-CN"/>
        </w:rPr>
      </w:pP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2015</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年成立至今，全体员工凭着坚定的理想和信念，执着追求，开拓进取，取得了一定的成就。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温州迪科阀门科技有限公司以“</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以您为中心，以我为半径，让您最满意</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”的企业</w:t>
      </w:r>
      <w:r>
        <w:rPr>
          <w:rFonts w:hint="eastAsia" w:cs="Arial" w:asciiTheme="minorEastAsia" w:hAnsiTheme="minorEastAsia" w:eastAsiaTheme="minorEastAsia"/>
          <w:b w:val="0"/>
          <w:bCs w:val="0"/>
          <w:color w:val="auto"/>
          <w:sz w:val="24"/>
          <w:szCs w:val="24"/>
        </w:rPr>
        <w:t>理念，争创一流品牌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。采用扁平式标准化质量管理体系，确保每道工序的完美，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尽心尽力为客户提供最具安全的阀门</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公司关注企业在竞争环境中生存状况，以</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要求，一切围绕为客户提供满意的产品与服务。公司一贯秉承“</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安全第一、以人为本、预防为主、安全健康、持续改进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职业健康文化</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eastAsiaTheme="minorEastAsia"/>
          <w:b w:val="0"/>
          <w:bCs/>
          <w:sz w:val="24"/>
          <w:szCs w:val="24"/>
          <w:lang w:val="en-US" w:eastAsia="zh-CN"/>
        </w:rPr>
        <w:t>客户至上，质量为本，全员参与，持续改进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阀门制造</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做阀门行业领军企业</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，共同努力！</w:t>
      </w: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firstLine="6600" w:firstLineChars="2200"/>
        <w:rPr>
          <w:rFonts w:hint="default" w:ascii="黑体" w:hAnsi="黑体" w:eastAsia="黑体"/>
          <w:sz w:val="30"/>
          <w:szCs w:val="30"/>
          <w:highlight w:val="none"/>
          <w:lang w:val="en-US" w:eastAsia="zh-CN"/>
        </w:rPr>
      </w:pPr>
      <w:bookmarkStart w:id="6" w:name="_Toc15061_WPSOffice_Level2"/>
      <w:r>
        <w:rPr>
          <w:rFonts w:hint="eastAsia" w:ascii="黑体" w:hAnsi="黑体" w:eastAsia="黑体"/>
          <w:sz w:val="30"/>
          <w:szCs w:val="30"/>
          <w:highlight w:val="none"/>
          <w:lang w:eastAsia="zh-CN"/>
        </w:rPr>
        <w:t>总经理：</w:t>
      </w:r>
      <w:bookmarkEnd w:id="6"/>
      <w:r>
        <w:rPr>
          <w:rFonts w:hint="eastAsia" w:ascii="宋体" w:hAnsi="宋体" w:eastAsia="黑体"/>
          <w:sz w:val="36"/>
          <w:szCs w:val="36"/>
          <w:lang w:val="en-US" w:eastAsia="zh-CN"/>
        </w:rPr>
        <w:t>章  阳</w:t>
      </w:r>
      <w:r>
        <w:rPr>
          <w:rFonts w:hint="eastAsia" w:ascii="黑体" w:hAnsi="黑体" w:eastAsia="黑体"/>
          <w:sz w:val="30"/>
          <w:szCs w:val="30"/>
          <w:highlight w:val="none"/>
          <w:lang w:val="en-US" w:eastAsia="zh-CN"/>
        </w:rPr>
        <w:t xml:space="preserve"> </w:t>
      </w:r>
    </w:p>
    <w:p>
      <w:pPr>
        <w:ind w:right="596"/>
        <w:rPr>
          <w:rFonts w:ascii="黑体" w:hAnsi="黑体" w:eastAsia="黑体"/>
          <w:sz w:val="30"/>
          <w:szCs w:val="30"/>
          <w:highlight w:val="none"/>
          <w:lang w:eastAsia="zh-CN"/>
        </w:rPr>
      </w:pPr>
    </w:p>
    <w:p>
      <w:pPr>
        <w:ind w:right="596"/>
        <w:jc w:val="center"/>
        <w:rPr>
          <w:rFonts w:ascii="黑体" w:hAnsi="黑体" w:eastAsia="黑体"/>
          <w:sz w:val="30"/>
          <w:szCs w:val="30"/>
          <w:highlight w:val="none"/>
          <w:lang w:eastAsia="zh-CN"/>
        </w:rPr>
      </w:pPr>
      <w:bookmarkStart w:id="7" w:name="_Toc24442_WPSOffice_Level2"/>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202</w:t>
      </w:r>
      <w:r>
        <w:rPr>
          <w:rFonts w:hint="eastAsia" w:ascii="黑体" w:hAnsi="黑体" w:eastAsia="黑体"/>
          <w:sz w:val="30"/>
          <w:szCs w:val="30"/>
          <w:highlight w:val="none"/>
          <w:lang w:val="en-US" w:eastAsia="zh-CN"/>
        </w:rPr>
        <w:t>2</w:t>
      </w:r>
      <w:r>
        <w:rPr>
          <w:rFonts w:hint="eastAsia" w:ascii="黑体" w:hAnsi="黑体" w:eastAsia="黑体"/>
          <w:sz w:val="30"/>
          <w:szCs w:val="30"/>
          <w:highlight w:val="none"/>
          <w:lang w:eastAsia="zh-CN"/>
        </w:rPr>
        <w:t>年</w:t>
      </w:r>
      <w:r>
        <w:rPr>
          <w:rFonts w:hint="eastAsia" w:ascii="黑体" w:hAnsi="黑体" w:eastAsia="黑体"/>
          <w:sz w:val="30"/>
          <w:szCs w:val="30"/>
          <w:highlight w:val="none"/>
          <w:lang w:val="en-US" w:eastAsia="zh-CN"/>
        </w:rPr>
        <w:t>2</w:t>
      </w:r>
      <w:r>
        <w:rPr>
          <w:rFonts w:hint="eastAsia" w:ascii="黑体" w:hAnsi="黑体" w:eastAsia="黑体"/>
          <w:sz w:val="30"/>
          <w:szCs w:val="30"/>
          <w:highlight w:val="none"/>
          <w:lang w:eastAsia="zh-CN"/>
        </w:rPr>
        <w:t>月</w:t>
      </w:r>
      <w:bookmarkEnd w:id="7"/>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5"/>
        <w:numPr>
          <w:ilvl w:val="0"/>
          <w:numId w:val="0"/>
        </w:numPr>
        <w:spacing w:line="360" w:lineRule="auto"/>
        <w:ind w:leftChars="0"/>
        <w:jc w:val="both"/>
        <w:outlineLvl w:val="1"/>
        <w:rPr>
          <w:b/>
          <w:bCs/>
          <w:sz w:val="28"/>
          <w:szCs w:val="28"/>
          <w:highlight w:val="none"/>
          <w:lang w:eastAsia="zh-CN"/>
        </w:rPr>
      </w:pPr>
      <w:bookmarkStart w:id="8" w:name="_Toc24912738"/>
      <w:bookmarkStart w:id="9" w:name="_Toc15713_WPSOffice_Level2"/>
    </w:p>
    <w:p>
      <w:pPr>
        <w:pStyle w:val="5"/>
        <w:numPr>
          <w:ilvl w:val="1"/>
          <w:numId w:val="2"/>
        </w:numPr>
        <w:spacing w:line="360" w:lineRule="auto"/>
        <w:jc w:val="center"/>
        <w:outlineLvl w:val="1"/>
        <w:rPr>
          <w:b/>
          <w:bCs/>
          <w:sz w:val="28"/>
          <w:szCs w:val="28"/>
          <w:highlight w:val="none"/>
          <w:lang w:eastAsia="zh-CN"/>
        </w:rPr>
      </w:pPr>
      <w:r>
        <w:rPr>
          <w:rFonts w:hint="eastAsia"/>
          <w:b/>
          <w:bCs/>
          <w:sz w:val="28"/>
          <w:szCs w:val="28"/>
          <w:highlight w:val="none"/>
          <w:lang w:eastAsia="zh-CN"/>
        </w:rPr>
        <w:t>企业简介</w:t>
      </w:r>
      <w:bookmarkEnd w:id="8"/>
      <w:bookmarkEnd w:id="9"/>
      <w:r>
        <w:rPr>
          <w:rFonts w:hint="eastAsia"/>
          <w:b/>
          <w:bCs/>
          <w:sz w:val="28"/>
          <w:szCs w:val="28"/>
          <w:highlight w:val="none"/>
          <w:lang w:val="en-US" w:eastAsia="zh-CN"/>
        </w:rPr>
        <w:t xml:space="preserve"> </w:t>
      </w:r>
    </w:p>
    <w:p>
      <w:pPr>
        <w:pStyle w:val="20"/>
        <w:widowControl/>
        <w:shd w:val="clear" w:color="auto" w:fill="F4F4F8"/>
        <w:spacing w:line="480" w:lineRule="atLeast"/>
        <w:rPr>
          <w:rFonts w:ascii="微软雅黑" w:hAnsi="微软雅黑" w:eastAsia="微软雅黑" w:cs="微软雅黑"/>
          <w:color w:val="444444"/>
          <w:sz w:val="22"/>
          <w:szCs w:val="22"/>
          <w:shd w:val="clear" w:color="auto" w:fill="F4F4F8"/>
        </w:rPr>
      </w:pPr>
      <w:bookmarkStart w:id="10" w:name="_Toc19657_WPSOffice_Level1"/>
      <w:bookmarkStart w:id="11" w:name="_Toc24912739"/>
      <w:r>
        <w:rPr>
          <w:rFonts w:hint="eastAsia" w:cs="宋体"/>
          <w:sz w:val="24"/>
          <w:highlight w:val="none"/>
          <w:lang w:val="en-US" w:eastAsia="zh-CN"/>
        </w:rPr>
        <w:t xml:space="preserve">  </w:t>
      </w:r>
      <w:r>
        <w:rPr>
          <w:rFonts w:ascii="微软雅黑" w:hAnsi="微软雅黑" w:eastAsia="微软雅黑" w:cs="微软雅黑"/>
          <w:color w:val="444444"/>
          <w:sz w:val="22"/>
          <w:szCs w:val="22"/>
          <w:shd w:val="clear" w:color="auto" w:fill="F4F4F8"/>
        </w:rPr>
        <w:t>温州迪科阀门科技有限公司是集设计研发、生产、销售、服务于一体的专业阀门制造企业。公司建筑面积达4000平方米，拥有数控加工、各种大中型设备、光谱议等专用检测设备，以确保产品零部件精密度，具备规模化、批量生产能力。</w:t>
      </w:r>
    </w:p>
    <w:p>
      <w:pPr>
        <w:pStyle w:val="20"/>
        <w:widowControl/>
        <w:shd w:val="clear" w:color="auto" w:fill="F4F4F8"/>
        <w:spacing w:line="480" w:lineRule="atLeast"/>
        <w:rPr>
          <w:rFonts w:ascii="微软雅黑" w:hAnsi="微软雅黑" w:eastAsia="微软雅黑" w:cs="微软雅黑"/>
          <w:color w:val="444444"/>
          <w:sz w:val="22"/>
          <w:szCs w:val="22"/>
          <w:shd w:val="clear" w:color="auto" w:fill="F4F4F8"/>
        </w:rPr>
      </w:pPr>
      <w:r>
        <w:rPr>
          <w:rFonts w:ascii="微软雅黑" w:hAnsi="微软雅黑" w:eastAsia="微软雅黑" w:cs="微软雅黑"/>
          <w:color w:val="444444"/>
          <w:sz w:val="22"/>
          <w:szCs w:val="22"/>
          <w:shd w:val="clear" w:color="auto" w:fill="F4F4F8"/>
        </w:rPr>
        <w:t>公司产品类型包括：法兰球阀系列，三片式球阀系列、二片式球阀系列、一片式球阀系列、闸阀、截止阀系列等。</w:t>
      </w:r>
    </w:p>
    <w:p>
      <w:pPr>
        <w:pStyle w:val="20"/>
        <w:widowControl/>
        <w:shd w:val="clear" w:color="auto" w:fill="F4F4F8"/>
        <w:spacing w:line="480" w:lineRule="atLeast"/>
        <w:rPr>
          <w:rFonts w:ascii="微软雅黑" w:hAnsi="微软雅黑" w:eastAsia="微软雅黑" w:cs="微软雅黑"/>
          <w:color w:val="444444"/>
          <w:sz w:val="22"/>
          <w:szCs w:val="22"/>
          <w:shd w:val="clear" w:color="auto" w:fill="F4F4F8"/>
        </w:rPr>
      </w:pPr>
      <w:r>
        <w:rPr>
          <w:rFonts w:ascii="微软雅黑" w:hAnsi="微软雅黑" w:eastAsia="微软雅黑" w:cs="微软雅黑"/>
          <w:color w:val="444444"/>
          <w:sz w:val="22"/>
          <w:szCs w:val="22"/>
          <w:shd w:val="clear" w:color="auto" w:fill="F4F4F8"/>
        </w:rPr>
        <w:t>执行标准：ISO、BS、ANSI、DIN、JIS、GB、JB等国内外标准生产。</w:t>
      </w:r>
    </w:p>
    <w:p>
      <w:pPr>
        <w:pStyle w:val="20"/>
        <w:widowControl/>
        <w:shd w:val="clear" w:color="auto" w:fill="F4F4F8"/>
        <w:spacing w:line="480" w:lineRule="atLeast"/>
        <w:rPr>
          <w:rFonts w:ascii="微软雅黑" w:hAnsi="微软雅黑" w:eastAsia="微软雅黑" w:cs="微软雅黑"/>
          <w:color w:val="444444"/>
          <w:sz w:val="22"/>
          <w:szCs w:val="22"/>
          <w:shd w:val="clear" w:color="auto" w:fill="F4F4F8"/>
        </w:rPr>
      </w:pPr>
      <w:r>
        <w:rPr>
          <w:rFonts w:ascii="微软雅黑" w:hAnsi="微软雅黑" w:eastAsia="微软雅黑" w:cs="微软雅黑"/>
          <w:color w:val="444444"/>
          <w:sz w:val="22"/>
          <w:szCs w:val="22"/>
          <w:shd w:val="clear" w:color="auto" w:fill="F4F4F8"/>
        </w:rPr>
        <w:t>产品通径：1/4“—6”（DN6-DN200)；压力等级：150Lb—800Lb</w:t>
      </w:r>
    </w:p>
    <w:p>
      <w:pPr>
        <w:pStyle w:val="20"/>
        <w:widowControl/>
        <w:shd w:val="clear" w:color="auto" w:fill="F4F4F8"/>
        <w:spacing w:line="480" w:lineRule="atLeast"/>
        <w:rPr>
          <w:rFonts w:ascii="微软雅黑" w:hAnsi="微软雅黑" w:eastAsia="微软雅黑" w:cs="微软雅黑"/>
          <w:color w:val="444444"/>
          <w:sz w:val="22"/>
          <w:szCs w:val="22"/>
          <w:shd w:val="clear" w:color="auto" w:fill="F4F4F8"/>
        </w:rPr>
      </w:pPr>
      <w:r>
        <w:rPr>
          <w:rFonts w:ascii="微软雅黑" w:hAnsi="微软雅黑" w:eastAsia="微软雅黑" w:cs="微软雅黑"/>
          <w:color w:val="444444"/>
          <w:sz w:val="22"/>
          <w:szCs w:val="22"/>
          <w:shd w:val="clear" w:color="auto" w:fill="F4F4F8"/>
        </w:rPr>
        <w:t>使用温度：-30C—300C；并可根据客户特殊要求治炼和制造。</w:t>
      </w:r>
    </w:p>
    <w:p>
      <w:pPr>
        <w:pStyle w:val="20"/>
        <w:widowControl/>
        <w:shd w:val="clear" w:color="auto" w:fill="F4F4F8"/>
        <w:spacing w:line="480" w:lineRule="atLeast"/>
        <w:rPr>
          <w:rFonts w:ascii="微软雅黑" w:hAnsi="微软雅黑" w:eastAsia="微软雅黑" w:cs="微软雅黑"/>
          <w:color w:val="444444"/>
          <w:sz w:val="22"/>
          <w:szCs w:val="22"/>
        </w:rPr>
      </w:pPr>
      <w:r>
        <w:rPr>
          <w:rFonts w:ascii="微软雅黑" w:hAnsi="微软雅黑" w:eastAsia="微软雅黑" w:cs="微软雅黑"/>
          <w:color w:val="444444"/>
          <w:sz w:val="22"/>
          <w:szCs w:val="22"/>
          <w:shd w:val="clear" w:color="auto" w:fill="F4F4F8"/>
        </w:rPr>
        <w:t>近年来，产品出口美国、土耳其、巴西、法国、意大利、印度、西班牙、南非、韩国、日本等国家，是石油、化工、建筑、冶金、电力、环保等行业的首选产品。</w:t>
      </w:r>
    </w:p>
    <w:p>
      <w:pPr>
        <w:tabs>
          <w:tab w:val="center" w:pos="6840"/>
          <w:tab w:val="center" w:pos="7380"/>
        </w:tabs>
        <w:spacing w:line="360" w:lineRule="auto"/>
        <w:ind w:right="-543" w:rightChars="-247"/>
        <w:rPr>
          <w:rFonts w:hint="eastAsia" w:ascii="宋体" w:hAnsi="宋体" w:eastAsia="宋体"/>
          <w:sz w:val="24"/>
        </w:rPr>
      </w:pP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地  址：浙江省温州经济技术开发区滨海园区杨柳路28-2号</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座  机：0577-86070000</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传  真：0577-86901099</w:t>
      </w:r>
    </w:p>
    <w:p>
      <w:pPr>
        <w:pStyle w:val="21"/>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1"/>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9"/>
        <w:numPr>
          <w:ilvl w:val="0"/>
          <w:numId w:val="0"/>
        </w:numPr>
        <w:spacing w:line="419" w:lineRule="exact"/>
        <w:ind w:right="213" w:rightChars="0"/>
        <w:jc w:val="both"/>
        <w:rPr>
          <w:rFonts w:hint="eastAsia"/>
          <w:highlight w:val="none"/>
          <w:lang w:eastAsia="zh-CN"/>
        </w:rPr>
      </w:pPr>
      <w:r>
        <w:rPr>
          <w:rFonts w:hint="eastAsia" w:cs="Arial" w:asciiTheme="minorEastAsia" w:hAnsiTheme="minorEastAsia" w:eastAsiaTheme="minorEastAsia"/>
          <w:b/>
          <w:bCs/>
          <w:color w:val="auto"/>
          <w:sz w:val="24"/>
          <w:szCs w:val="24"/>
        </w:rPr>
        <w:t xml:space="preserve">            </w:t>
      </w: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highlight w:val="none"/>
          <w:lang w:eastAsia="zh-CN"/>
        </w:rPr>
      </w:pPr>
      <w:r>
        <w:rPr>
          <w:rFonts w:hint="eastAsia"/>
          <w:highlight w:val="none"/>
          <w:lang w:eastAsia="zh-CN"/>
        </w:rPr>
        <w:t>报告正文</w:t>
      </w:r>
      <w:bookmarkEnd w:id="10"/>
      <w:bookmarkEnd w:id="11"/>
    </w:p>
    <w:p>
      <w:pPr>
        <w:pStyle w:val="29"/>
        <w:spacing w:line="419" w:lineRule="exact"/>
        <w:ind w:right="213"/>
        <w:jc w:val="both"/>
        <w:rPr>
          <w:highlight w:val="none"/>
          <w:lang w:eastAsia="zh-CN"/>
        </w:rPr>
      </w:pPr>
    </w:p>
    <w:p>
      <w:pPr>
        <w:pStyle w:val="29"/>
        <w:spacing w:line="419" w:lineRule="exact"/>
        <w:ind w:right="213"/>
        <w:jc w:val="center"/>
        <w:rPr>
          <w:highlight w:val="none"/>
          <w:lang w:eastAsia="zh-CN"/>
        </w:rPr>
      </w:pPr>
      <w:bookmarkStart w:id="12" w:name="_Toc24912740"/>
      <w:bookmarkStart w:id="13" w:name="_Toc14231_WPSOffice_Level2"/>
      <w:r>
        <w:rPr>
          <w:rFonts w:hint="eastAsia"/>
          <w:highlight w:val="none"/>
          <w:lang w:eastAsia="zh-CN"/>
        </w:rPr>
        <w:t>第一章  质量理念</w:t>
      </w:r>
      <w:bookmarkEnd w:id="12"/>
      <w:bookmarkEnd w:id="13"/>
    </w:p>
    <w:p>
      <w:pPr>
        <w:pStyle w:val="29"/>
        <w:spacing w:line="419" w:lineRule="exact"/>
        <w:ind w:right="213"/>
        <w:jc w:val="center"/>
        <w:rPr>
          <w:highlight w:val="none"/>
          <w:lang w:eastAsia="zh-CN"/>
        </w:rPr>
      </w:pPr>
    </w:p>
    <w:p>
      <w:pPr>
        <w:pStyle w:val="5"/>
        <w:spacing w:line="360" w:lineRule="auto"/>
        <w:ind w:left="229"/>
        <w:rPr>
          <w:b/>
          <w:bCs/>
          <w:sz w:val="24"/>
          <w:szCs w:val="24"/>
          <w:highlight w:val="none"/>
          <w:lang w:eastAsia="zh-CN"/>
        </w:rPr>
      </w:pPr>
      <w:r>
        <w:rPr>
          <w:b/>
          <w:bCs/>
          <w:sz w:val="24"/>
          <w:szCs w:val="24"/>
          <w:highlight w:val="none"/>
          <w:lang w:eastAsia="zh-CN"/>
        </w:rPr>
        <w:t>1.1</w:t>
      </w:r>
      <w:r>
        <w:rPr>
          <w:rFonts w:hint="eastAsia"/>
          <w:b/>
          <w:bCs/>
          <w:sz w:val="24"/>
          <w:szCs w:val="24"/>
          <w:highlight w:val="none"/>
          <w:lang w:eastAsia="zh-CN"/>
        </w:rPr>
        <w:t xml:space="preserve"> 企业</w:t>
      </w:r>
      <w:r>
        <w:rPr>
          <w:rFonts w:hint="eastAsia"/>
          <w:b/>
          <w:bCs/>
          <w:spacing w:val="2"/>
          <w:sz w:val="24"/>
          <w:szCs w:val="24"/>
          <w:highlight w:val="none"/>
          <w:lang w:eastAsia="zh-CN"/>
        </w:rPr>
        <w:t>使</w:t>
      </w:r>
      <w:r>
        <w:rPr>
          <w:rFonts w:hint="eastAsia"/>
          <w:b/>
          <w:bCs/>
          <w:sz w:val="24"/>
          <w:szCs w:val="24"/>
          <w:highlight w:val="none"/>
          <w:lang w:eastAsia="zh-CN"/>
        </w:rPr>
        <w:t>命</w:t>
      </w:r>
    </w:p>
    <w:p>
      <w:pPr>
        <w:pStyle w:val="5"/>
        <w:spacing w:line="360" w:lineRule="auto"/>
        <w:ind w:left="229"/>
        <w:rPr>
          <w:rFonts w:hint="default" w:cs="Times New Roman"/>
          <w:b/>
          <w:bCs/>
          <w:sz w:val="24"/>
          <w:szCs w:val="24"/>
          <w:highlight w:val="none"/>
          <w:lang w:val="en-US" w:eastAsia="zh-CN"/>
        </w:rPr>
      </w:pPr>
      <w:r>
        <w:rPr>
          <w:rFonts w:hint="eastAsia" w:cs="Times New Roman"/>
          <w:b/>
          <w:bCs/>
          <w:sz w:val="24"/>
          <w:szCs w:val="24"/>
          <w:highlight w:val="none"/>
          <w:lang w:val="en-US" w:eastAsia="zh-CN"/>
        </w:rPr>
        <w:t>专注于我们的业务，倾听客户的需求和想法，力争客户最佳供应商</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1.2 公司愿景</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做精主业，追求卓越，打造具有国际竞争力的手动工具一流生产企业</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1.3核心价值观</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诚信 创新 业绩 和谐</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1.4 公司经营理念：</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以您为中心，以我为半径，让您最满意</w:t>
      </w:r>
      <w:r>
        <w:rPr>
          <w:rFonts w:hint="eastAsia" w:cs="Times New Roman"/>
          <w:b/>
          <w:bCs/>
          <w:sz w:val="24"/>
          <w:szCs w:val="24"/>
          <w:highlight w:val="none"/>
          <w:lang w:eastAsia="zh-CN"/>
        </w:rPr>
        <w:t xml:space="preserve">。 </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1.5 企业精神：</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客户满意的检验我们工作的唯一标准</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1.6品质承诺</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标准是底线，我们要做得更好</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1.7</w:t>
      </w:r>
      <w:r>
        <w:rPr>
          <w:rFonts w:hint="eastAsia" w:cs="Times New Roman"/>
          <w:b/>
          <w:bCs/>
          <w:sz w:val="24"/>
          <w:szCs w:val="24"/>
          <w:highlight w:val="none"/>
          <w:lang w:eastAsia="zh-CN"/>
        </w:rPr>
        <w:tab/>
      </w:r>
      <w:r>
        <w:rPr>
          <w:rFonts w:hint="eastAsia" w:cs="Times New Roman"/>
          <w:b/>
          <w:bCs/>
          <w:sz w:val="24"/>
          <w:szCs w:val="24"/>
          <w:highlight w:val="none"/>
          <w:lang w:eastAsia="zh-CN"/>
        </w:rPr>
        <w:t>质量方针</w:t>
      </w:r>
    </w:p>
    <w:p>
      <w:pPr>
        <w:pStyle w:val="5"/>
        <w:spacing w:line="360" w:lineRule="auto"/>
        <w:ind w:left="229"/>
        <w:rPr>
          <w:rFonts w:hint="eastAsia" w:cs="Times New Roman"/>
          <w:b/>
          <w:bCs/>
          <w:sz w:val="24"/>
          <w:szCs w:val="24"/>
          <w:highlight w:val="none"/>
          <w:lang w:val="en-US" w:eastAsia="zh-CN"/>
        </w:rPr>
      </w:pPr>
      <w:r>
        <w:rPr>
          <w:rFonts w:hint="eastAsia" w:cs="Times New Roman"/>
          <w:b/>
          <w:bCs/>
          <w:sz w:val="24"/>
          <w:szCs w:val="24"/>
          <w:highlight w:val="none"/>
          <w:lang w:val="en-US" w:eastAsia="zh-CN"/>
        </w:rPr>
        <w:t>客户至上，质量为本，全员参与，持续改进。</w:t>
      </w: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center"/>
        <w:rPr>
          <w:highlight w:val="none"/>
          <w:lang w:eastAsia="zh-CN"/>
        </w:rPr>
      </w:pPr>
      <w:bookmarkStart w:id="14" w:name="_Toc26340_WPSOffice_Level2"/>
      <w:bookmarkStart w:id="15" w:name="_Toc24912741"/>
      <w:r>
        <w:rPr>
          <w:rFonts w:hint="eastAsia"/>
          <w:spacing w:val="2"/>
          <w:highlight w:val="none"/>
          <w:lang w:eastAsia="zh-CN"/>
        </w:rPr>
        <w:t>第二</w:t>
      </w:r>
      <w:r>
        <w:rPr>
          <w:rFonts w:hint="eastAsia"/>
          <w:highlight w:val="none"/>
          <w:lang w:eastAsia="zh-CN"/>
        </w:rPr>
        <w:t xml:space="preserve">章  </w:t>
      </w:r>
      <w:r>
        <w:rPr>
          <w:rFonts w:hint="eastAsia"/>
          <w:spacing w:val="2"/>
          <w:highlight w:val="none"/>
          <w:lang w:eastAsia="zh-CN"/>
        </w:rPr>
        <w:t>质量管</w:t>
      </w:r>
      <w:r>
        <w:rPr>
          <w:rFonts w:hint="eastAsia"/>
          <w:highlight w:val="none"/>
          <w:lang w:eastAsia="zh-CN"/>
        </w:rPr>
        <w:t>理</w:t>
      </w:r>
      <w:bookmarkEnd w:id="14"/>
      <w:bookmarkEnd w:id="15"/>
    </w:p>
    <w:p>
      <w:pPr>
        <w:spacing w:before="2" w:line="110" w:lineRule="exact"/>
        <w:rPr>
          <w:sz w:val="11"/>
          <w:szCs w:val="11"/>
          <w:highlight w:val="none"/>
          <w:lang w:eastAsia="zh-CN"/>
        </w:rPr>
      </w:pPr>
    </w:p>
    <w:p>
      <w:pPr>
        <w:spacing w:line="200" w:lineRule="exact"/>
        <w:rPr>
          <w:sz w:val="20"/>
          <w:szCs w:val="20"/>
          <w:highlight w:val="none"/>
          <w:lang w:eastAsia="zh-CN"/>
        </w:rPr>
      </w:pPr>
    </w:p>
    <w:p>
      <w:pPr>
        <w:pStyle w:val="5"/>
        <w:rPr>
          <w:rFonts w:asciiTheme="majorEastAsia" w:hAnsiTheme="majorEastAsia" w:eastAsiaTheme="majorEastAsia" w:cstheme="majorEastAsia"/>
          <w:b/>
          <w:bCs/>
          <w:highlight w:val="none"/>
          <w:lang w:eastAsia="zh-CN"/>
        </w:rPr>
      </w:pPr>
      <w:r>
        <w:rPr>
          <w:rFonts w:hint="eastAsia" w:asciiTheme="majorEastAsia" w:hAnsiTheme="majorEastAsia" w:eastAsiaTheme="majorEastAsia" w:cstheme="majorEastAsia"/>
          <w:b/>
          <w:bCs/>
          <w:highlight w:val="none"/>
          <w:lang w:eastAsia="zh-CN"/>
        </w:rPr>
        <w:t>2.1质量</w:t>
      </w:r>
      <w:r>
        <w:rPr>
          <w:rFonts w:hint="eastAsia" w:asciiTheme="majorEastAsia" w:hAnsiTheme="majorEastAsia" w:eastAsiaTheme="majorEastAsia" w:cstheme="majorEastAsia"/>
          <w:b/>
          <w:bCs/>
          <w:spacing w:val="2"/>
          <w:highlight w:val="none"/>
          <w:lang w:eastAsia="zh-CN"/>
        </w:rPr>
        <w:t>管</w:t>
      </w:r>
      <w:r>
        <w:rPr>
          <w:rFonts w:hint="eastAsia" w:asciiTheme="majorEastAsia" w:hAnsiTheme="majorEastAsia" w:eastAsiaTheme="majorEastAsia" w:cstheme="majorEastAsia"/>
          <w:b/>
          <w:bCs/>
          <w:highlight w:val="none"/>
          <w:lang w:eastAsia="zh-CN"/>
        </w:rPr>
        <w:t>理机构</w:t>
      </w:r>
    </w:p>
    <w:p>
      <w:pPr>
        <w:spacing w:before="20" w:line="200" w:lineRule="exact"/>
        <w:rPr>
          <w:sz w:val="20"/>
          <w:szCs w:val="20"/>
          <w:highlight w:val="none"/>
          <w:lang w:eastAsia="zh-CN"/>
        </w:rPr>
      </w:pPr>
    </w:p>
    <w:p>
      <w:pPr>
        <w:pStyle w:val="5"/>
        <w:numPr>
          <w:ilvl w:val="2"/>
          <w:numId w:val="4"/>
        </w:numPr>
        <w:tabs>
          <w:tab w:val="left" w:pos="937"/>
        </w:tabs>
        <w:ind w:left="937"/>
        <w:rPr>
          <w:color w:val="000000" w:themeColor="text1"/>
          <w:highlight w:val="none"/>
          <w14:textFill>
            <w14:solidFill>
              <w14:schemeClr w14:val="tx1"/>
            </w14:solidFill>
          </w14:textFill>
        </w:rPr>
      </w:pPr>
      <w:r>
        <w:rPr>
          <w:rFonts w:hint="eastAsia"/>
          <w:color w:val="000000" w:themeColor="text1"/>
          <w:spacing w:val="2"/>
          <w:highlight w:val="none"/>
          <w:lang w:eastAsia="zh-CN"/>
          <w14:textFill>
            <w14:solidFill>
              <w14:schemeClr w14:val="tx1"/>
            </w14:solidFill>
          </w14:textFill>
        </w:rPr>
        <w:t>管理</w:t>
      </w:r>
      <w:r>
        <w:rPr>
          <w:rFonts w:hint="eastAsia"/>
          <w:color w:val="000000" w:themeColor="text1"/>
          <w:spacing w:val="2"/>
          <w:highlight w:val="none"/>
          <w14:textFill>
            <w14:solidFill>
              <w14:schemeClr w14:val="tx1"/>
            </w14:solidFill>
          </w14:textFill>
        </w:rPr>
        <w:t>组</w:t>
      </w:r>
      <w:r>
        <w:rPr>
          <w:rFonts w:hint="eastAsia"/>
          <w:color w:val="000000" w:themeColor="text1"/>
          <w:highlight w:val="none"/>
          <w14:textFill>
            <w14:solidFill>
              <w14:schemeClr w14:val="tx1"/>
            </w14:solidFill>
          </w14:textFill>
        </w:rPr>
        <w:t>织架</w:t>
      </w:r>
      <w:r>
        <w:rPr>
          <w:rFonts w:hint="eastAsia"/>
          <w:color w:val="000000" w:themeColor="text1"/>
          <w:spacing w:val="2"/>
          <w:highlight w:val="none"/>
          <w14:textFill>
            <w14:solidFill>
              <w14:schemeClr w14:val="tx1"/>
            </w14:solidFill>
          </w14:textFill>
        </w:rPr>
        <w:t>构</w:t>
      </w:r>
      <w:r>
        <w:rPr>
          <w:rFonts w:hint="eastAsia"/>
          <w:color w:val="000000" w:themeColor="text1"/>
          <w:highlight w:val="none"/>
          <w14:textFill>
            <w14:solidFill>
              <w14:schemeClr w14:val="tx1"/>
            </w14:solidFill>
          </w14:textFill>
        </w:rPr>
        <w:t>图</w: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219075</wp:posOffset>
                </wp:positionV>
                <wp:extent cx="6762750" cy="4243705"/>
                <wp:effectExtent l="5080" t="5080" r="13970" b="5715"/>
                <wp:wrapNone/>
                <wp:docPr id="8" name="文本框 4"/>
                <wp:cNvGraphicFramePr/>
                <a:graphic xmlns:a="http://schemas.openxmlformats.org/drawingml/2006/main">
                  <a:graphicData uri="http://schemas.microsoft.com/office/word/2010/wordprocessingShape">
                    <wps:wsp>
                      <wps:cNvSpPr txBox="1"/>
                      <wps:spPr>
                        <a:xfrm>
                          <a:off x="0" y="0"/>
                          <a:ext cx="6762750" cy="4243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8"/>
                                          <a:stretch>
                                            <a:fillRect/>
                                          </a:stretch>
                                        </pic:blipFill>
                                        <pic:spPr>
                                          <a:xfrm>
                                            <a:off x="0" y="0"/>
                                            <a:ext cx="0" cy="0"/>
                                          </a:xfrm>
                                          <a:prstGeom prst="rect">
                                            <a:avLst/>
                                          </a:prstGeom>
                                        </pic:spPr>
                                      </pic:pic>
                                    </a:graphicData>
                                  </a:graphic>
                                </wp:inline>
                              </w:drawing>
                            </w:r>
                            <w:r>
                              <w:drawing>
                                <wp:inline distT="0" distB="0" distL="114300" distR="114300">
                                  <wp:extent cx="5873115" cy="3582670"/>
                                  <wp:effectExtent l="0" t="0" r="13335"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873115" cy="3582670"/>
                                          </a:xfrm>
                                          <a:prstGeom prst="rect">
                                            <a:avLst/>
                                          </a:prstGeom>
                                          <a:noFill/>
                                          <a:ln>
                                            <a:noFill/>
                                          </a:ln>
                                        </pic:spPr>
                                      </pic:pic>
                                    </a:graphicData>
                                  </a:graphic>
                                </wp:inline>
                              </w:drawing>
                            </w:r>
                          </w:p>
                        </w:txbxContent>
                      </wps:txbx>
                      <wps:bodyPr vert="eaVert" upright="1"/>
                    </wps:wsp>
                  </a:graphicData>
                </a:graphic>
              </wp:anchor>
            </w:drawing>
          </mc:Choice>
          <mc:Fallback>
            <w:pict>
              <v:shape id="文本框 4" o:spid="_x0000_s1026" o:spt="202" type="#_x0000_t202" style="position:absolute;left:0pt;margin-left:-31.85pt;margin-top:17.25pt;height:334.15pt;width:532.5pt;z-index:251660288;mso-width-relative:page;mso-height-relative:page;" fillcolor="#FFFFFF" filled="t" stroked="t" coordsize="21600,21600" o:gfxdata="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U3dt1wAAAAsBAAAPAAAAAAAAAAEA&#10;IAAAACIAAABkcnMvZG93bnJldi54bWxQSwECFAAUAAAACACHTuJAGDLdLBACAABFBAAADgAAAAAA&#10;AAABACAAAAAmAQAAZHJzL2Uyb0RvYy54bWxQSwUGAAAAAAYABgBZAQAAqAUAAAAA&#10;">
                <v:fill on="t" focussize="0,0"/>
                <v:stroke color="#FFFFFF" joinstyle="miter"/>
                <v:imagedata o:title=""/>
                <o:lock v:ext="edit" aspectratio="f"/>
                <v:textbox style="layout-flow:vertical-ideographic;">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8"/>
                                    <a:stretch>
                                      <a:fillRect/>
                                    </a:stretch>
                                  </pic:blipFill>
                                  <pic:spPr>
                                    <a:xfrm>
                                      <a:off x="0" y="0"/>
                                      <a:ext cx="0" cy="0"/>
                                    </a:xfrm>
                                    <a:prstGeom prst="rect">
                                      <a:avLst/>
                                    </a:prstGeom>
                                  </pic:spPr>
                                </pic:pic>
                              </a:graphicData>
                            </a:graphic>
                          </wp:inline>
                        </w:drawing>
                      </w:r>
                      <w:r>
                        <w:drawing>
                          <wp:inline distT="0" distB="0" distL="114300" distR="114300">
                            <wp:extent cx="5873115" cy="3582670"/>
                            <wp:effectExtent l="0" t="0" r="13335" b="177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873115" cy="3582670"/>
                                    </a:xfrm>
                                    <a:prstGeom prst="rect">
                                      <a:avLst/>
                                    </a:prstGeom>
                                    <a:noFill/>
                                    <a:ln>
                                      <a:noFill/>
                                    </a:ln>
                                  </pic:spPr>
                                </pic:pic>
                              </a:graphicData>
                            </a:graphic>
                          </wp:inline>
                        </w:drawing>
                      </w:r>
                    </w:p>
                  </w:txbxContent>
                </v:textbox>
              </v:shape>
            </w:pict>
          </mc:Fallback>
        </mc:AlternateConten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spacing w:line="440" w:lineRule="exact"/>
        <w:ind w:firstLine="520"/>
        <w:rPr>
          <w:spacing w:val="2"/>
          <w:sz w:val="24"/>
          <w:szCs w:val="24"/>
          <w:highlight w:val="none"/>
          <w:lang w:eastAsia="zh-CN"/>
        </w:rPr>
      </w:pPr>
      <w:r>
        <w:rPr>
          <w:rFonts w:hint="eastAsia"/>
          <w:spacing w:val="2"/>
          <w:sz w:val="24"/>
          <w:szCs w:val="24"/>
          <w:highlight w:val="none"/>
          <w:lang w:val="en-US" w:eastAsia="zh-CN"/>
        </w:rPr>
        <w:t>公</w:t>
      </w:r>
      <w:r>
        <w:rPr>
          <w:rFonts w:hint="eastAsia"/>
          <w:spacing w:val="2"/>
          <w:sz w:val="24"/>
          <w:szCs w:val="24"/>
          <w:highlight w:val="none"/>
          <w:lang w:eastAsia="zh-CN"/>
        </w:rPr>
        <w:t>司的质量管理由最高领导者亲自挂帅，副总对本公司产品质量工作全面负责，组织制定公司质量发展战略、质量目标、年度质量工作计划和质量保证措施。制订了各级人员的质量职责，组织一年一度的管理评审，实施质量改善、质量攻关等活动。</w:t>
      </w:r>
      <w:r>
        <w:rPr>
          <w:rFonts w:hint="eastAsia"/>
          <w:color w:val="auto"/>
          <w:sz w:val="24"/>
          <w:szCs w:val="24"/>
          <w:highlight w:val="none"/>
          <w:lang w:val="en-US" w:eastAsia="zh-CN"/>
        </w:rPr>
        <w:t>技质部</w:t>
      </w:r>
      <w:r>
        <w:rPr>
          <w:rFonts w:hint="eastAsia"/>
          <w:spacing w:val="2"/>
          <w:sz w:val="24"/>
          <w:szCs w:val="24"/>
          <w:highlight w:val="none"/>
          <w:lang w:eastAsia="zh-CN"/>
        </w:rPr>
        <w:t>是公司质量管理的独立部门，实行质量安全“一票否决制”，确保出厂合格率</w:t>
      </w:r>
      <w:r>
        <w:rPr>
          <w:rFonts w:hint="eastAsia"/>
          <w:spacing w:val="2"/>
          <w:sz w:val="24"/>
          <w:szCs w:val="24"/>
          <w:highlight w:val="none"/>
          <w:lang w:val="en-US" w:eastAsia="zh-CN"/>
        </w:rPr>
        <w:t>1</w:t>
      </w:r>
      <w:r>
        <w:rPr>
          <w:rFonts w:hint="eastAsia"/>
          <w:spacing w:val="2"/>
          <w:sz w:val="24"/>
          <w:szCs w:val="24"/>
          <w:highlight w:val="none"/>
          <w:lang w:eastAsia="zh-CN"/>
        </w:rPr>
        <w:t>00%。</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2.1.1管理者代表</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经公司最高管理者任命、并授权</w:t>
      </w:r>
      <w:r>
        <w:rPr>
          <w:rFonts w:hint="eastAsia"/>
          <w:b/>
          <w:bCs/>
          <w:color w:val="auto"/>
          <w:sz w:val="28"/>
          <w:szCs w:val="28"/>
          <w:u w:val="single"/>
          <w:lang w:val="en-US" w:eastAsia="zh-CN"/>
        </w:rPr>
        <w:t>王波</w:t>
      </w:r>
      <w:r>
        <w:rPr>
          <w:rFonts w:hint="eastAsia"/>
          <w:bCs/>
          <w:sz w:val="24"/>
          <w:highlight w:val="none"/>
          <w:lang w:val="en-US" w:eastAsia="zh-CN"/>
        </w:rPr>
        <w:t>赋于</w:t>
      </w:r>
      <w:r>
        <w:rPr>
          <w:rFonts w:hint="eastAsia" w:asciiTheme="minorEastAsia" w:hAnsiTheme="minorEastAsia" w:eastAsiaTheme="minorEastAsia" w:cstheme="minorEastAsia"/>
          <w:spacing w:val="2"/>
          <w:sz w:val="24"/>
          <w:szCs w:val="24"/>
          <w:highlight w:val="none"/>
          <w:lang w:eastAsia="zh-CN"/>
        </w:rPr>
        <w:t>其在质量管理体系方面指挥和控制系统。</w:t>
      </w:r>
      <w:r>
        <w:rPr>
          <w:rFonts w:hint="eastAsia" w:cs="Arial"/>
          <w:color w:val="333333"/>
          <w:sz w:val="24"/>
          <w:szCs w:val="24"/>
        </w:rPr>
        <w:t>更好贯彻执行</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 xml:space="preserve">GB/T45001-2020 </w:t>
      </w:r>
      <w:r>
        <w:rPr>
          <w:rFonts w:hint="eastAsia" w:cs="Arial"/>
          <w:color w:val="333333"/>
          <w:sz w:val="24"/>
          <w:szCs w:val="24"/>
        </w:rPr>
        <w:t>标准</w:t>
      </w:r>
      <w:r>
        <w:rPr>
          <w:rFonts w:hint="eastAsia" w:cs="Arial"/>
          <w:color w:val="333333"/>
          <w:sz w:val="21"/>
          <w:szCs w:val="21"/>
        </w:rPr>
        <w:t>，</w:t>
      </w:r>
      <w:r>
        <w:rPr>
          <w:rFonts w:hint="eastAsia" w:cs="Arial"/>
          <w:color w:val="333333"/>
          <w:sz w:val="24"/>
          <w:szCs w:val="24"/>
        </w:rPr>
        <w:t>加强对质量、环境、职业健康安全体系的管理</w:t>
      </w:r>
      <w:r>
        <w:rPr>
          <w:rFonts w:hint="eastAsia" w:asciiTheme="minorEastAsia" w:hAnsiTheme="minorEastAsia" w:eastAsiaTheme="minorEastAsia" w:cstheme="minorEastAsia"/>
          <w:spacing w:val="2"/>
          <w:sz w:val="24"/>
          <w:szCs w:val="24"/>
          <w:highlight w:val="none"/>
          <w:lang w:eastAsia="zh-CN"/>
        </w:rPr>
        <w:t>。具体职责包括：</w:t>
      </w:r>
    </w:p>
    <w:p>
      <w:pPr>
        <w:pStyle w:val="5"/>
        <w:spacing w:line="440" w:lineRule="exact"/>
        <w:ind w:firstLine="520"/>
        <w:rPr>
          <w:rFonts w:hint="eastAsia" w:cs="Arial"/>
          <w:color w:val="333333"/>
          <w:sz w:val="21"/>
          <w:szCs w:val="21"/>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确保建立、实施、保持质量环境职业健康安全管理体系并符合标准的要求</w:t>
      </w:r>
      <w:r>
        <w:rPr>
          <w:rFonts w:hint="eastAsia" w:cs="Arial"/>
          <w:color w:val="333333"/>
          <w:sz w:val="24"/>
          <w:szCs w:val="24"/>
          <w:lang w:eastAsia="zh-CN"/>
        </w:rPr>
        <w:t>；</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确保过程、危险源、环境因素等得到识别、分析、确认、控制；</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报告质管理体系的整体绩效及其改进，特别向最高管理者报告；</w:t>
      </w:r>
    </w:p>
    <w:p>
      <w:pPr>
        <w:pStyle w:val="5"/>
        <w:spacing w:line="440" w:lineRule="exact"/>
        <w:ind w:left="330" w:firstLine="441" w:firstLineChars="184"/>
        <w:rPr>
          <w:rFonts w:hint="eastAsia" w:eastAsia="宋体"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确保在整个组织内推动以顾客为关注焦点、互利供方关系、持续改进、过程方法、询证决策、领导作用、全员参与；确保在整个组织内提高员工的质量、环境保护、职业健康安全的意识</w:t>
      </w:r>
      <w:r>
        <w:rPr>
          <w:rFonts w:hint="eastAsia" w:cs="Arial"/>
          <w:color w:val="333333"/>
          <w:sz w:val="24"/>
          <w:szCs w:val="24"/>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确保在策划和实施质量、环境、职业健康安全管理体系变更时保持其完整性</w:t>
      </w:r>
      <w:r>
        <w:rPr>
          <w:rFonts w:hint="eastAsia" w:asciiTheme="minorEastAsia" w:hAnsiTheme="minorEastAsia" w:eastAsiaTheme="minorEastAsia" w:cstheme="minorEastAsia"/>
          <w:sz w:val="24"/>
          <w:szCs w:val="24"/>
          <w:highlight w:val="none"/>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宋体" w:hAnsi="宋体" w:cs="Arial"/>
          <w:color w:val="333333"/>
          <w:kern w:val="0"/>
          <w:sz w:val="24"/>
          <w:szCs w:val="24"/>
        </w:rPr>
        <w:t>就质量、环境、</w:t>
      </w:r>
      <w:r>
        <w:rPr>
          <w:rFonts w:hint="eastAsia" w:cs="Arial"/>
          <w:color w:val="333333"/>
          <w:sz w:val="24"/>
          <w:szCs w:val="24"/>
        </w:rPr>
        <w:t>职业健康安全</w:t>
      </w:r>
      <w:r>
        <w:rPr>
          <w:rFonts w:hint="eastAsia" w:ascii="宋体" w:hAnsi="宋体" w:cs="Arial"/>
          <w:color w:val="333333"/>
          <w:kern w:val="0"/>
          <w:sz w:val="24"/>
          <w:szCs w:val="24"/>
        </w:rPr>
        <w:t>管理体系有关事宜的外部联络。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 xml:space="preserve">2.1.2 </w:t>
      </w:r>
      <w:r>
        <w:rPr>
          <w:rFonts w:hint="eastAsia"/>
          <w:spacing w:val="2"/>
          <w:sz w:val="24"/>
          <w:szCs w:val="24"/>
          <w:highlight w:val="none"/>
          <w:lang w:val="en-US" w:eastAsia="zh-CN"/>
        </w:rPr>
        <w:t>技质部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--负责组织指导数据分析方法的应用并监督；</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--负责认证产品标志的管理。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--具体实施本过程的质量管理，开展各项质量管理活动，编制年度质量提升计划，支撑公司高品质制造及质量目标的实现；</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--在总经理领导下，负责公司质量目标的层层分解落实；</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--组织实施来料检验、过程检验、成品检验；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--根据产品标准和技术要求，编制进货、过程和最终产品检验标准；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--负责各部门内部组织对不合格品评审和处置，并对生产过程中出现和流转下工序的废品进行监控、确认；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--负责到期测量量具及测量设备的送检，正确使用监视测量装置；</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--负责对质量数据的汇总、统计和分析，负责因产品质量问题所采取纠正措施实施的跟踪验证；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--负责协调、组织解决车间之间的工艺、质量问题；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--负责对本公司质量事故的调查、处理，跟进验证整改措施结果；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--负责参与合同评审；</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--负责认证产品的例行检验和确认检验。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--组织实施产品客户验货等各项工作；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--根据产品标准和技术要求，进货、过程和最终检验标准的批准；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--负责对质量检验数据的汇总、统计和分析，以及所采取纠正措施实施的跟踪验证；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--负责质量事故的调查和提出处理意见；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--负责客户投诉处理与督导责任单位改进；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--负责对特殊工序、关键工序进行控制、监督和检查；</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--负责参与供应商的评审、评定、绩效汇总，对供应商有最终的否决权；</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--负责公司质量成本的统计、汇总和分析；</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--负责对认证产品一致性的监视，确保产品的一致性。</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--负责产品各项认证检测工作；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--负责监测装置的登帐、编号、标识、周检、维修、建档等管理；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--根据各监视测量仪器的重要度及特性编制操作规范。</w:t>
      </w:r>
    </w:p>
    <w:p>
      <w:pPr>
        <w:pStyle w:val="5"/>
        <w:spacing w:line="440" w:lineRule="exact"/>
        <w:ind w:firstLine="520"/>
        <w:rPr>
          <w:rFonts w:hint="default"/>
          <w:spacing w:val="2"/>
          <w:sz w:val="24"/>
          <w:szCs w:val="24"/>
          <w:highlight w:val="none"/>
          <w:lang w:val="en-US" w:eastAsia="zh-CN"/>
        </w:rPr>
      </w:pPr>
      <w:r>
        <w:rPr>
          <w:rFonts w:hint="eastAsia"/>
          <w:spacing w:val="2"/>
          <w:sz w:val="24"/>
          <w:szCs w:val="24"/>
          <w:highlight w:val="none"/>
          <w:lang w:eastAsia="zh-CN"/>
        </w:rPr>
        <w:t xml:space="preserve">2.1.3 </w:t>
      </w:r>
      <w:r>
        <w:rPr>
          <w:rFonts w:hint="eastAsia"/>
          <w:spacing w:val="2"/>
          <w:sz w:val="24"/>
          <w:szCs w:val="24"/>
          <w:highlight w:val="none"/>
          <w:lang w:val="en-US" w:eastAsia="zh-CN"/>
        </w:rPr>
        <w:t>办公室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--确保质量</w:t>
      </w:r>
      <w:bookmarkStart w:id="16" w:name="OLE_LINK12"/>
      <w:bookmarkStart w:id="17" w:name="OLE_LINK13"/>
      <w:r>
        <w:rPr>
          <w:rFonts w:hint="eastAsia"/>
          <w:spacing w:val="2"/>
          <w:sz w:val="24"/>
          <w:szCs w:val="24"/>
          <w:highlight w:val="none"/>
          <w:lang w:eastAsia="zh-CN"/>
        </w:rPr>
        <w:t>、环境和职业健康安全</w:t>
      </w:r>
      <w:bookmarkEnd w:id="16"/>
      <w:bookmarkEnd w:id="17"/>
      <w:r>
        <w:rPr>
          <w:rFonts w:hint="eastAsia"/>
          <w:spacing w:val="2"/>
          <w:sz w:val="24"/>
          <w:szCs w:val="24"/>
          <w:highlight w:val="none"/>
          <w:lang w:eastAsia="zh-CN"/>
        </w:rPr>
        <w:t>一体化管理体系所需的过程得到建立、实施和保持并持续改进；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--向最高管理者汇报质量、环境、职业健康安全管理体系的业绩和改进需求；</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--确保员工在公司内提高满足顾客要求的意识，提高全员的环境意识和职业健康安全意识；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--负责质量、环境和职业健康安全一体化管理体系的有关事宜与外部有关各方进行联络等。</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2.1.4 其他部门及人员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根据公司《管理手册》及相关文件规定，承担各部门及岗位的质量责任。</w:t>
      </w:r>
    </w:p>
    <w:p>
      <w:pPr>
        <w:pStyle w:val="5"/>
        <w:spacing w:before="120" w:beforeLines="50" w:after="120" w:afterLines="50" w:line="440" w:lineRule="exact"/>
        <w:ind w:left="0"/>
        <w:rPr>
          <w:rFonts w:cs="宋体"/>
          <w:b/>
          <w:bCs/>
          <w:sz w:val="24"/>
          <w:szCs w:val="24"/>
          <w:highlight w:val="none"/>
          <w:lang w:eastAsia="zh-CN"/>
        </w:rPr>
      </w:pPr>
      <w:r>
        <w:rPr>
          <w:rFonts w:cs="宋体"/>
          <w:b/>
          <w:bCs/>
          <w:sz w:val="24"/>
          <w:szCs w:val="24"/>
          <w:highlight w:val="none"/>
          <w:lang w:eastAsia="zh-CN"/>
        </w:rPr>
        <w:t xml:space="preserve">2.2 </w:t>
      </w:r>
      <w:r>
        <w:rPr>
          <w:rFonts w:hint="eastAsia" w:cs="宋体"/>
          <w:b/>
          <w:bCs/>
          <w:sz w:val="24"/>
          <w:szCs w:val="24"/>
          <w:highlight w:val="none"/>
          <w:lang w:eastAsia="zh-CN"/>
        </w:rPr>
        <w:t>质量管理体系</w:t>
      </w:r>
    </w:p>
    <w:p>
      <w:pPr>
        <w:pStyle w:val="5"/>
        <w:spacing w:line="360" w:lineRule="auto"/>
        <w:ind w:firstLine="240" w:firstLineChars="100"/>
        <w:rPr>
          <w:rFonts w:cs="宋体"/>
          <w:color w:val="000000" w:themeColor="text1"/>
          <w:sz w:val="24"/>
          <w:szCs w:val="24"/>
          <w:highlight w:val="none"/>
          <w:lang w:eastAsia="zh-CN"/>
          <w14:textFill>
            <w14:solidFill>
              <w14:schemeClr w14:val="tx1"/>
            </w14:solidFill>
          </w14:textFill>
        </w:rPr>
      </w:pPr>
      <w:r>
        <w:rPr>
          <w:rFonts w:cs="宋体"/>
          <w:color w:val="000000" w:themeColor="text1"/>
          <w:sz w:val="24"/>
          <w:szCs w:val="24"/>
          <w:highlight w:val="none"/>
          <w:lang w:eastAsia="zh-CN"/>
          <w14:textFill>
            <w14:solidFill>
              <w14:schemeClr w14:val="tx1"/>
            </w14:solidFill>
          </w14:textFill>
        </w:rPr>
        <w:t>1</w:t>
      </w:r>
      <w:r>
        <w:rPr>
          <w:rFonts w:hint="eastAsia" w:cs="宋体"/>
          <w:color w:val="000000" w:themeColor="text1"/>
          <w:sz w:val="24"/>
          <w:szCs w:val="24"/>
          <w:highlight w:val="none"/>
          <w:lang w:eastAsia="zh-CN"/>
          <w14:textFill>
            <w14:solidFill>
              <w14:schemeClr w14:val="tx1"/>
            </w14:solidFill>
          </w14:textFill>
        </w:rPr>
        <w:t>、公司以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cs="宋体"/>
          <w:color w:val="000000" w:themeColor="text1"/>
          <w:sz w:val="24"/>
          <w:szCs w:val="24"/>
          <w:highlight w:val="none"/>
          <w:lang w:eastAsia="zh-CN"/>
          <w14:textFill>
            <w14:solidFill>
              <w14:schemeClr w14:val="tx1"/>
            </w14:solidFill>
          </w14:textFill>
        </w:rPr>
        <w:t>质量管理体系标准要求为基础，结合卓越绩效模式和客户的相关要求，形成了完整的</w:t>
      </w:r>
      <w:r>
        <w:rPr>
          <w:rFonts w:hint="eastAsia" w:cs="宋体"/>
          <w:color w:val="000000" w:themeColor="text1"/>
          <w:sz w:val="24"/>
          <w:szCs w:val="24"/>
          <w:highlight w:val="none"/>
          <w:lang w:val="en-US" w:eastAsia="zh-CN"/>
          <w14:textFill>
            <w14:solidFill>
              <w14:schemeClr w14:val="tx1"/>
            </w14:solidFill>
          </w14:textFill>
        </w:rPr>
        <w:t>迪科</w:t>
      </w:r>
      <w:r>
        <w:rPr>
          <w:rFonts w:hint="eastAsia" w:cs="宋体"/>
          <w:color w:val="000000" w:themeColor="text1"/>
          <w:sz w:val="24"/>
          <w:szCs w:val="24"/>
          <w:highlight w:val="none"/>
          <w:lang w:eastAsia="zh-CN"/>
          <w14:textFill>
            <w14:solidFill>
              <w14:schemeClr w14:val="tx1"/>
            </w14:solidFill>
          </w14:textFill>
        </w:rPr>
        <w:t>质量管理标准体系。并通过内审、外审和管理评审，推进质量管理体系的不断完善，持续改进其有效性。为此应做到下列要求：</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分配体系管理职责，对</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的有效性承担责任；</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制定</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的质量方针和质量目标</w:t>
      </w:r>
      <w:r>
        <w:rPr>
          <w:rFonts w:cs="Arial" w:asciiTheme="minorEastAsia" w:hAnsiTheme="minorEastAsia" w:eastAsiaTheme="minorEastAsia"/>
          <w:color w:val="333333"/>
          <w:sz w:val="24"/>
          <w:szCs w:val="24"/>
        </w:rPr>
        <w:t>,</w:t>
      </w:r>
      <w:r>
        <w:rPr>
          <w:rFonts w:hint="eastAsia" w:cs="Arial" w:asciiTheme="minorEastAsia" w:hAnsiTheme="minorEastAsia" w:eastAsiaTheme="minorEastAsia"/>
          <w:color w:val="333333"/>
          <w:sz w:val="24"/>
          <w:szCs w:val="24"/>
        </w:rPr>
        <w:t>并与组织环境和战略方向相一致；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将公司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要求融入公司的业务过程；</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促进管理者在体系策划、运行中使用过程方法和基于风险的思维；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识别公司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所需的资源及其更新需要并配备这些资源；</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在公司内进行沟通，确保全员理解有效的质量管理和符合</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要求的重要性，积极主动参与和配合，通过考核、培训、分享知识、奖励制度，促使、指导和支持员工努力提高其素质，提高</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的有效性和管理绩效；</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实施各项业务过程，实现公司目标和</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的预期结果；</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推动改进；</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明确公司内部职责分工，支持其他管理者履行其相关领域的职责。</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spacing w:val="2"/>
          <w:sz w:val="24"/>
          <w:szCs w:val="24"/>
          <w:highlight w:val="none"/>
          <w:lang w:eastAsia="zh-CN"/>
        </w:rPr>
        <w:t>--</w:t>
      </w:r>
      <w:r>
        <w:rPr>
          <w:rFonts w:hint="eastAsia" w:cs="Arial" w:asciiTheme="minorEastAsia" w:hAnsiTheme="minorEastAsia" w:eastAsiaTheme="minorEastAsia"/>
          <w:sz w:val="24"/>
          <w:szCs w:val="24"/>
        </w:rPr>
        <w:t>其它：</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公司生产在受控条件下进行，严格按工艺操作，以达到出厂产品</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合格；</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用良好的售后服务</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及时处理顾客意见和抱怨，确保顾客满意率</w:t>
      </w:r>
      <w:r>
        <w:rPr>
          <w:rFonts w:cs="Arial" w:asciiTheme="minorEastAsia" w:hAnsiTheme="minorEastAsia" w:eastAsiaTheme="minorEastAsia"/>
          <w:sz w:val="24"/>
          <w:szCs w:val="24"/>
        </w:rPr>
        <w:t>98%</w:t>
      </w:r>
      <w:r>
        <w:rPr>
          <w:rFonts w:hint="eastAsia" w:cs="Arial" w:asciiTheme="minorEastAsia" w:hAnsiTheme="minorEastAsia" w:eastAsiaTheme="minorEastAsia"/>
          <w:sz w:val="24"/>
          <w:szCs w:val="24"/>
        </w:rPr>
        <w:t>以上；</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重合同、守信誉，认真履行每份合同，及时处理变更，合同履约率达到</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追求装备先进性，对在用设备进行良好维护，保证设施设备完好率</w:t>
      </w:r>
      <w:r>
        <w:rPr>
          <w:rFonts w:cs="Arial" w:asciiTheme="minorEastAsia" w:hAnsiTheme="minorEastAsia" w:eastAsiaTheme="minorEastAsia"/>
          <w:sz w:val="24"/>
          <w:szCs w:val="24"/>
        </w:rPr>
        <w:t>95%</w:t>
      </w:r>
      <w:r>
        <w:rPr>
          <w:rFonts w:hint="eastAsia" w:cs="Arial" w:asciiTheme="minorEastAsia" w:hAnsiTheme="minorEastAsia" w:eastAsiaTheme="minorEastAsia"/>
          <w:sz w:val="24"/>
          <w:szCs w:val="24"/>
        </w:rPr>
        <w:t>以上。</w:t>
      </w:r>
    </w:p>
    <w:p>
      <w:pPr>
        <w:pStyle w:val="5"/>
        <w:spacing w:before="120" w:beforeLines="50" w:after="120" w:afterLines="50" w:line="440" w:lineRule="exact"/>
        <w:ind w:left="0"/>
        <w:rPr>
          <w:rFonts w:cs="宋体"/>
          <w:b/>
          <w:bCs/>
          <w:sz w:val="24"/>
          <w:szCs w:val="24"/>
          <w:highlight w:val="none"/>
          <w:lang w:eastAsia="zh-CN"/>
        </w:rPr>
      </w:pPr>
      <w:r>
        <w:rPr>
          <w:rFonts w:hint="eastAsia" w:cs="宋体"/>
          <w:b/>
          <w:bCs/>
          <w:sz w:val="24"/>
          <w:szCs w:val="24"/>
          <w:highlight w:val="none"/>
          <w:lang w:eastAsia="zh-CN"/>
        </w:rPr>
        <w:t>2.3 质量安全风险管理与控制</w:t>
      </w:r>
    </w:p>
    <w:p>
      <w:pPr>
        <w:spacing w:line="360" w:lineRule="auto"/>
        <w:ind w:firstLine="480" w:firstLineChars="200"/>
        <w:jc w:val="both"/>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质量安全与风险监控方面。根据相关质量法规要求，建立了</w:t>
      </w:r>
      <w:r>
        <w:rPr>
          <w:rFonts w:hint="eastAsia" w:cs="Arial"/>
          <w:color w:val="333333"/>
          <w:sz w:val="24"/>
          <w:szCs w:val="24"/>
        </w:rPr>
        <w:t>《</w:t>
      </w:r>
      <w:r>
        <w:rPr>
          <w:rFonts w:hint="eastAsia" w:cs="Arial"/>
          <w:color w:val="333333"/>
          <w:sz w:val="24"/>
          <w:szCs w:val="24"/>
          <w:lang w:eastAsia="zh-CN"/>
        </w:rPr>
        <w:t>风险和机遇控制程序</w:t>
      </w:r>
      <w:r>
        <w:rPr>
          <w:rFonts w:hint="eastAsia" w:cs="Arial"/>
          <w:color w:val="333333"/>
          <w:sz w:val="24"/>
          <w:szCs w:val="24"/>
        </w:rPr>
        <w:t>》</w:t>
      </w:r>
      <w:r>
        <w:rPr>
          <w:rFonts w:hint="eastAsia" w:asciiTheme="minorEastAsia" w:hAnsiTheme="minorEastAsia" w:eastAsiaTheme="minorEastAsia"/>
          <w:bCs/>
          <w:color w:val="000000"/>
          <w:sz w:val="24"/>
          <w:szCs w:val="24"/>
          <w:highlight w:val="none"/>
          <w:lang w:eastAsia="zh-CN"/>
        </w:rPr>
        <w:t>、</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环境因素识别和评价控制程序</w:t>
      </w:r>
      <w:r>
        <w:rPr>
          <w:rFonts w:hint="eastAsia" w:ascii="宋体" w:hAnsi="宋体" w:cs="宋体"/>
          <w:color w:val="000000"/>
          <w:kern w:val="0"/>
          <w:sz w:val="24"/>
          <w:szCs w:val="24"/>
        </w:rPr>
        <w:t>》</w:t>
      </w:r>
      <w:r>
        <w:rPr>
          <w:rFonts w:hint="eastAsia" w:asciiTheme="minorEastAsia" w:hAnsiTheme="minorEastAsia" w:eastAsiaTheme="minorEastAsia"/>
          <w:bCs/>
          <w:color w:val="000000"/>
          <w:sz w:val="24"/>
          <w:szCs w:val="24"/>
          <w:highlight w:val="none"/>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实行产品线班组负责制，产品线班组对所管理的产品质量，从投入到产出、再到交付后使用全权负责，一站式服务。</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型式试验方面，公司质量管理严格遵守国家法规和标准，实施并通过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Theme="minorEastAsia" w:hAnsiTheme="minorEastAsia" w:eastAsiaTheme="minorEastAsia"/>
          <w:bCs/>
          <w:color w:val="000000"/>
          <w:sz w:val="24"/>
          <w:szCs w:val="24"/>
          <w:highlight w:val="none"/>
          <w:lang w:eastAsia="zh-CN"/>
        </w:rPr>
        <w:t>质量管理体系认证，不断完善质量管理过程，通过技能比赛、推荐考核等程序，进行内部检验团队专业技术培训与提升。同时，把技质人员分配到车间各工序，实行定人定岗定责，并将质量考核作为车间和车间员工月绩效考核评比的重要内容。</w:t>
      </w:r>
    </w:p>
    <w:p>
      <w:pPr>
        <w:spacing w:line="360" w:lineRule="auto"/>
        <w:ind w:firstLine="480" w:firstLineChars="200"/>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br w:type="page"/>
      </w:r>
    </w:p>
    <w:p>
      <w:pPr>
        <w:pStyle w:val="29"/>
        <w:spacing w:line="419" w:lineRule="exact"/>
        <w:ind w:right="-64"/>
        <w:jc w:val="center"/>
        <w:rPr>
          <w:highlight w:val="none"/>
          <w:lang w:eastAsia="zh-CN"/>
        </w:rPr>
      </w:pPr>
      <w:bookmarkStart w:id="18" w:name="_Toc24912742"/>
      <w:bookmarkStart w:id="19" w:name="_Toc12830_WPSOffice_Level2"/>
      <w:r>
        <w:rPr>
          <w:rFonts w:hint="eastAsia"/>
          <w:spacing w:val="2"/>
          <w:highlight w:val="none"/>
          <w:lang w:eastAsia="zh-CN"/>
        </w:rPr>
        <w:t>第三</w:t>
      </w:r>
      <w:r>
        <w:rPr>
          <w:rFonts w:hint="eastAsia"/>
          <w:highlight w:val="none"/>
          <w:lang w:eastAsia="zh-CN"/>
        </w:rPr>
        <w:t xml:space="preserve">章  </w:t>
      </w:r>
      <w:r>
        <w:rPr>
          <w:rFonts w:hint="eastAsia"/>
          <w:spacing w:val="2"/>
          <w:highlight w:val="none"/>
          <w:lang w:eastAsia="zh-CN"/>
        </w:rPr>
        <w:t>质量诚信管理</w:t>
      </w:r>
      <w:bookmarkEnd w:id="18"/>
      <w:bookmarkEnd w:id="19"/>
    </w:p>
    <w:p>
      <w:pPr>
        <w:spacing w:before="17" w:line="220" w:lineRule="exact"/>
        <w:rPr>
          <w:highlight w:val="none"/>
          <w:lang w:eastAsia="zh-CN"/>
        </w:rPr>
      </w:pPr>
    </w:p>
    <w:p>
      <w:pPr>
        <w:widowControl/>
        <w:spacing w:line="360" w:lineRule="auto"/>
        <w:ind w:firstLine="482"/>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highlight w:val="none"/>
          <w:lang w:eastAsia="zh-CN"/>
        </w:rPr>
      </w:pPr>
      <w:r>
        <w:rPr>
          <w:rFonts w:hint="eastAsia" w:cs="宋体" w:asciiTheme="minorEastAsia" w:hAnsiTheme="minorEastAsia"/>
          <w:b/>
          <w:bCs/>
          <w:sz w:val="24"/>
          <w:szCs w:val="24"/>
          <w:highlight w:val="none"/>
          <w:lang w:eastAsia="zh-CN"/>
        </w:rPr>
        <w:t>3.1、产品全生命周期质量诚信管理</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3.1.1产品设计诚信管理</w:t>
      </w:r>
    </w:p>
    <w:p>
      <w:pPr>
        <w:widowControl/>
        <w:spacing w:line="360" w:lineRule="auto"/>
        <w:ind w:firstLine="480"/>
        <w:rPr>
          <w:rFonts w:cs="宋体" w:asciiTheme="minorEastAsia" w:hAnsi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color w:val="000000" w:themeColor="text1"/>
          <w:sz w:val="24"/>
          <w:szCs w:val="24"/>
          <w:highlight w:val="none"/>
          <w:lang w:eastAsia="zh-CN"/>
          <w14:textFill>
            <w14:solidFill>
              <w14:schemeClr w14:val="tx1"/>
            </w14:solidFill>
          </w14:textFill>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highlight w:val="none"/>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highlight w:val="none"/>
          <w:lang w:eastAsia="zh-CN"/>
          <w14:textFill>
            <w14:solidFill>
              <w14:schemeClr w14:val="tx1"/>
            </w14:solidFill>
          </w14:textFill>
        </w:rPr>
        <w:t>控制等要求予以设计控制。</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3.1.2原材料或零部件采购管理</w:t>
      </w:r>
    </w:p>
    <w:p>
      <w:pPr>
        <w:pStyle w:val="21"/>
        <w:shd w:val="clear" w:color="auto" w:fill="FFFFFF"/>
        <w:spacing w:before="0" w:beforeAutospacing="0" w:after="0" w:afterAutospacing="0" w:line="360" w:lineRule="auto"/>
        <w:ind w:firstLine="480" w:firstLineChars="200"/>
        <w:rPr>
          <w:rFonts w:cs="Times New Roman" w:asciiTheme="minorEastAsia" w:hAnsiTheme="minorEastAsia" w:eastAsiaTheme="minorEastAsia"/>
          <w:color w:val="000000"/>
          <w:kern w:val="2"/>
          <w:sz w:val="21"/>
          <w:szCs w:val="21"/>
        </w:rPr>
      </w:pPr>
      <w:r>
        <w:rPr>
          <w:rFonts w:hint="eastAsia" w:cs="宋体" w:asciiTheme="minorEastAsia" w:hAnsiTheme="minorEastAsia"/>
          <w:sz w:val="24"/>
          <w:szCs w:val="24"/>
          <w:highlight w:val="none"/>
          <w:lang w:eastAsia="zh-CN"/>
        </w:rPr>
        <w:t>公司</w:t>
      </w:r>
      <w:r>
        <w:rPr>
          <w:rFonts w:hint="eastAsia" w:cs="Times New Roman" w:asciiTheme="minorEastAsia" w:hAnsiTheme="minorEastAsia" w:eastAsiaTheme="minorEastAsia"/>
          <w:color w:val="000000"/>
          <w:kern w:val="2"/>
          <w:sz w:val="24"/>
          <w:szCs w:val="24"/>
        </w:rPr>
        <w:t>制定《</w:t>
      </w:r>
      <w:r>
        <w:rPr>
          <w:rFonts w:hint="eastAsia" w:cs="Times New Roman" w:asciiTheme="minorEastAsia" w:hAnsiTheme="minorEastAsia" w:eastAsiaTheme="minorEastAsia"/>
          <w:color w:val="000000"/>
          <w:kern w:val="2"/>
          <w:sz w:val="24"/>
          <w:szCs w:val="24"/>
          <w:lang w:val="en-US" w:eastAsia="zh-CN"/>
        </w:rPr>
        <w:t>采购控制程序</w:t>
      </w:r>
      <w:r>
        <w:rPr>
          <w:rFonts w:hint="eastAsia" w:cs="Times New Roman" w:asciiTheme="minorEastAsia" w:hAnsiTheme="minorEastAsia" w:eastAsiaTheme="minorEastAsia"/>
          <w:color w:val="000000"/>
          <w:kern w:val="2"/>
          <w:sz w:val="24"/>
          <w:szCs w:val="24"/>
        </w:rPr>
        <w:t>》、《</w:t>
      </w:r>
      <w:r>
        <w:rPr>
          <w:rFonts w:hint="eastAsia" w:cs="Times New Roman" w:asciiTheme="minorEastAsia" w:hAnsiTheme="minorEastAsia" w:eastAsiaTheme="minorEastAsia"/>
          <w:color w:val="000000"/>
          <w:kern w:val="2"/>
          <w:sz w:val="24"/>
          <w:szCs w:val="24"/>
          <w:lang w:eastAsia="zh-CN"/>
        </w:rPr>
        <w:t>组织环境和相关方控制程序</w:t>
      </w:r>
      <w:r>
        <w:rPr>
          <w:rFonts w:hint="eastAsia" w:cs="Times New Roman" w:asciiTheme="minorEastAsia" w:hAnsiTheme="minorEastAsia" w:eastAsiaTheme="minorEastAsia"/>
          <w:color w:val="000000"/>
          <w:kern w:val="2"/>
          <w:sz w:val="24"/>
          <w:szCs w:val="24"/>
        </w:rPr>
        <w:t>》，以控制供方、外部提供过程产品和服务</w:t>
      </w:r>
      <w:r>
        <w:rPr>
          <w:rFonts w:hint="eastAsia" w:cs="Times New Roman" w:asciiTheme="minorEastAsia" w:hAnsiTheme="minorEastAsia" w:eastAsiaTheme="minorEastAsia"/>
          <w:color w:val="000000"/>
          <w:kern w:val="2"/>
          <w:sz w:val="21"/>
          <w:szCs w:val="21"/>
        </w:rPr>
        <w:t>。</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公司应基于外部供方按照要求提供过程、产品和服务的能力，确定并实施对外部供方的评价、</w:t>
      </w:r>
      <w:r>
        <w:rPr>
          <w:rFonts w:cs="Times New Roman" w:asciiTheme="minorEastAsia" w:hAnsiTheme="minorEastAsia" w:eastAsiaTheme="minorEastAsia"/>
          <w:color w:val="000000"/>
          <w:kern w:val="2"/>
          <w:sz w:val="24"/>
          <w:szCs w:val="24"/>
        </w:rPr>
        <w:t xml:space="preserve"> </w:t>
      </w:r>
      <w:r>
        <w:rPr>
          <w:rFonts w:hint="eastAsia" w:cs="Times New Roman" w:asciiTheme="minorEastAsia" w:hAnsiTheme="minorEastAsia" w:eastAsiaTheme="minorEastAsia"/>
          <w:color w:val="000000"/>
          <w:kern w:val="2"/>
          <w:sz w:val="24"/>
          <w:szCs w:val="24"/>
        </w:rPr>
        <w:t>选择、绩效监视以及再评价的准则。评价活动和由评价引发的任何必要的措施，应保留成文信息。</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公司确保外部提供的过程、产品和服务不会对组织稳定地向顾客交付合格产品和服务的能力产生不利影响。</w:t>
      </w:r>
    </w:p>
    <w:p>
      <w:pPr>
        <w:widowControl/>
        <w:spacing w:line="360" w:lineRule="auto"/>
        <w:ind w:firstLine="480"/>
        <w:rPr>
          <w:rFonts w:hint="eastAsia" w:cs="Times New Roman" w:asciiTheme="minorEastAsia" w:hAnsiTheme="minorEastAsia" w:eastAsiaTheme="minorEastAsia"/>
          <w:color w:val="000000"/>
          <w:kern w:val="2"/>
          <w:sz w:val="24"/>
          <w:szCs w:val="24"/>
          <w:lang w:eastAsia="zh-CN"/>
        </w:rPr>
      </w:pPr>
      <w:r>
        <w:rPr>
          <w:rFonts w:hint="eastAsia" w:cs="Arial"/>
          <w:color w:val="333333"/>
          <w:sz w:val="24"/>
          <w:szCs w:val="24"/>
        </w:rPr>
        <w:t>公司应确保在与外部供方沟通之前，充分进行，确定的要求是充分和适宜的</w:t>
      </w:r>
      <w:r>
        <w:rPr>
          <w:rFonts w:hint="eastAsia" w:cs="Arial"/>
          <w:color w:val="333333"/>
          <w:sz w:val="21"/>
          <w:szCs w:val="21"/>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人员管理：人员上岗前均进行岗前培训，关键岗位人员通过考试取得操作证后才能上岗，人员换岗应经培训合格后经技质部确认。车间管理人员或者</w:t>
      </w:r>
      <w:r>
        <w:rPr>
          <w:rFonts w:hint="eastAsia" w:ascii="宋体" w:hAnsi="宋体"/>
          <w:color w:val="auto"/>
          <w:highlight w:val="none"/>
          <w:lang w:val="en-US" w:eastAsia="zh-CN"/>
        </w:rPr>
        <w:t>技质</w:t>
      </w:r>
      <w:r>
        <w:rPr>
          <w:rFonts w:hint="eastAsia" w:asciiTheme="minorEastAsia" w:hAnsiTheme="minorEastAsia"/>
          <w:color w:val="000000" w:themeColor="text1"/>
          <w:sz w:val="24"/>
          <w:szCs w:val="24"/>
          <w:highlight w:val="none"/>
          <w:lang w:eastAsia="zh-CN"/>
          <w14:textFill>
            <w14:solidFill>
              <w14:schemeClr w14:val="tx1"/>
            </w14:solidFill>
          </w14:textFill>
        </w:rPr>
        <w:t>经理定期对员工进行质量改进等相关培训，</w:t>
      </w:r>
      <w:r>
        <w:rPr>
          <w:rFonts w:asciiTheme="minorEastAsia" w:hAnsiTheme="minorEastAsia"/>
          <w:color w:val="000000" w:themeColor="text1"/>
          <w:sz w:val="24"/>
          <w:szCs w:val="24"/>
          <w:highlight w:val="none"/>
          <w:lang w:eastAsia="zh-CN"/>
          <w14:textFill>
            <w14:solidFill>
              <w14:schemeClr w14:val="tx1"/>
            </w14:solidFill>
          </w14:textFill>
        </w:rPr>
        <w:t>提高操作员工的质量意识，要求车间工人严格按照规定进行生产操作。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设备管理：每年制订设备的维护保养计划并按计划执行，每天对设备进行点检，涉及安全性能的设备每天按规定进行确认，确保设备的正常运行。</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材料管理：严格进行材料标识管理，通过系统管控、员工自查、巡检督查方式进行控制。</w:t>
      </w:r>
      <w:r>
        <w:rPr>
          <w:rFonts w:hint="eastAsia" w:ascii="宋体" w:hAnsi="宋体"/>
          <w:color w:val="auto"/>
          <w:highlight w:val="none"/>
          <w:lang w:val="en-US" w:eastAsia="zh-CN"/>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对不合格的物料进行锁定和标识、隔离，未经解绑，发不出锁定的物料。</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highlight w:val="none"/>
          <w:lang w:eastAsia="zh-CN"/>
          <w14:textFill>
            <w14:solidFill>
              <w14:schemeClr w14:val="tx1"/>
            </w14:solidFill>
          </w14:textFill>
        </w:rPr>
        <w:t>对于现场发现的可立即处理的质量问题，</w:t>
      </w:r>
      <w:r>
        <w:rPr>
          <w:rFonts w:hint="eastAsia" w:asciiTheme="minorEastAsia" w:hAnsiTheme="minorEastAsia"/>
          <w:color w:val="000000" w:themeColor="text1"/>
          <w:sz w:val="24"/>
          <w:szCs w:val="24"/>
          <w:highlight w:val="none"/>
          <w:lang w:eastAsia="zh-CN"/>
          <w14:textFill>
            <w14:solidFill>
              <w14:schemeClr w14:val="tx1"/>
            </w14:solidFill>
          </w14:textFill>
        </w:rPr>
        <w:t>车间主任或检验员</w:t>
      </w:r>
      <w:r>
        <w:rPr>
          <w:rFonts w:asciiTheme="minorEastAsia" w:hAnsiTheme="minorEastAsia"/>
          <w:color w:val="000000" w:themeColor="text1"/>
          <w:sz w:val="24"/>
          <w:szCs w:val="24"/>
          <w:highlight w:val="none"/>
          <w:lang w:eastAsia="zh-CN"/>
          <w14:textFill>
            <w14:solidFill>
              <w14:schemeClr w14:val="tx1"/>
            </w14:solidFill>
          </w14:textFill>
        </w:rPr>
        <w:t>及时组织</w:t>
      </w:r>
      <w:r>
        <w:rPr>
          <w:rFonts w:hint="eastAsia" w:asciiTheme="minorEastAsia" w:hAnsiTheme="minorEastAsia"/>
          <w:color w:val="000000" w:themeColor="text1"/>
          <w:sz w:val="24"/>
          <w:szCs w:val="24"/>
          <w:highlight w:val="none"/>
          <w:lang w:eastAsia="zh-CN"/>
          <w14:textFill>
            <w14:solidFill>
              <w14:schemeClr w14:val="tx1"/>
            </w14:solidFill>
          </w14:textFill>
        </w:rPr>
        <w:t>相关</w:t>
      </w:r>
      <w:r>
        <w:rPr>
          <w:rFonts w:asciiTheme="minorEastAsia" w:hAnsiTheme="minorEastAsia"/>
          <w:color w:val="000000" w:themeColor="text1"/>
          <w:sz w:val="24"/>
          <w:szCs w:val="24"/>
          <w:highlight w:val="none"/>
          <w:lang w:eastAsia="zh-CN"/>
          <w14:textFill>
            <w14:solidFill>
              <w14:schemeClr w14:val="tx1"/>
            </w14:solidFill>
          </w14:textFill>
        </w:rPr>
        <w:t>人员改进；对于由长期数据统计发现的质量问题，则通过召开</w:t>
      </w:r>
      <w:r>
        <w:rPr>
          <w:rFonts w:hint="eastAsia" w:asciiTheme="minorEastAsia" w:hAnsiTheme="minorEastAsia"/>
          <w:color w:val="000000" w:themeColor="text1"/>
          <w:sz w:val="24"/>
          <w:szCs w:val="24"/>
          <w:highlight w:val="none"/>
          <w:lang w:eastAsia="zh-CN"/>
          <w14:textFill>
            <w14:solidFill>
              <w14:schemeClr w14:val="tx1"/>
            </w14:solidFill>
          </w14:textFill>
        </w:rPr>
        <w:t>周</w:t>
      </w:r>
      <w:r>
        <w:rPr>
          <w:rFonts w:asciiTheme="minorEastAsia" w:hAnsiTheme="minorEastAsia"/>
          <w:color w:val="000000" w:themeColor="text1"/>
          <w:sz w:val="24"/>
          <w:szCs w:val="24"/>
          <w:highlight w:val="none"/>
          <w:lang w:eastAsia="zh-CN"/>
          <w14:textFill>
            <w14:solidFill>
              <w14:schemeClr w14:val="tx1"/>
            </w14:solidFill>
          </w14:textFill>
        </w:rPr>
        <w:t>质</w:t>
      </w:r>
      <w:r>
        <w:rPr>
          <w:rFonts w:hint="eastAsia" w:asciiTheme="minorEastAsia" w:hAnsiTheme="minorEastAsia"/>
          <w:color w:val="000000" w:themeColor="text1"/>
          <w:sz w:val="24"/>
          <w:szCs w:val="24"/>
          <w:highlight w:val="none"/>
          <w:lang w:eastAsia="zh-CN"/>
          <w14:textFill>
            <w14:solidFill>
              <w14:schemeClr w14:val="tx1"/>
            </w14:solidFill>
          </w14:textFill>
        </w:rPr>
        <w:t>量例</w:t>
      </w:r>
      <w:r>
        <w:rPr>
          <w:rFonts w:asciiTheme="minorEastAsia" w:hAnsiTheme="minorEastAsia"/>
          <w:color w:val="000000" w:themeColor="text1"/>
          <w:sz w:val="24"/>
          <w:szCs w:val="24"/>
          <w:highlight w:val="none"/>
          <w:lang w:eastAsia="zh-CN"/>
          <w14:textFill>
            <w14:solidFill>
              <w14:schemeClr w14:val="tx1"/>
            </w14:solidFill>
          </w14:textFill>
        </w:rPr>
        <w:t>会</w:t>
      </w:r>
      <w:r>
        <w:rPr>
          <w:rFonts w:hint="eastAsia" w:asciiTheme="minorEastAsia" w:hAnsiTheme="minorEastAsia"/>
          <w:color w:val="000000" w:themeColor="text1"/>
          <w:sz w:val="24"/>
          <w:szCs w:val="24"/>
          <w:highlight w:val="none"/>
          <w:lang w:eastAsia="zh-CN"/>
          <w14:textFill>
            <w14:solidFill>
              <w14:schemeClr w14:val="tx1"/>
            </w14:solidFill>
          </w14:textFill>
        </w:rPr>
        <w:t>或组织质量攻关小组</w:t>
      </w:r>
      <w:r>
        <w:rPr>
          <w:rFonts w:asciiTheme="minorEastAsia" w:hAnsiTheme="minorEastAsia"/>
          <w:color w:val="000000" w:themeColor="text1"/>
          <w:sz w:val="24"/>
          <w:szCs w:val="24"/>
          <w:highlight w:val="none"/>
          <w:lang w:eastAsia="zh-CN"/>
          <w14:textFill>
            <w14:solidFill>
              <w14:schemeClr w14:val="tx1"/>
            </w14:solidFill>
          </w14:textFill>
        </w:rPr>
        <w:t>进行</w:t>
      </w:r>
      <w:r>
        <w:rPr>
          <w:rFonts w:hint="eastAsia" w:asciiTheme="minorEastAsia" w:hAnsiTheme="minorEastAsia"/>
          <w:color w:val="000000" w:themeColor="text1"/>
          <w:sz w:val="24"/>
          <w:szCs w:val="24"/>
          <w:highlight w:val="none"/>
          <w:lang w:eastAsia="zh-CN"/>
          <w14:textFill>
            <w14:solidFill>
              <w14:schemeClr w14:val="tx1"/>
            </w14:solidFill>
          </w14:textFill>
        </w:rPr>
        <w:t>跟进直至完成闭环整改</w:t>
      </w:r>
      <w:r>
        <w:rPr>
          <w:rFonts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asciiTheme="minorEastAsia" w:hAnsiTheme="minorEastAsia"/>
          <w:color w:val="000000" w:themeColor="text1"/>
          <w:sz w:val="24"/>
          <w:szCs w:val="24"/>
          <w:highlight w:val="none"/>
          <w:lang w:eastAsia="zh-CN"/>
          <w14:textFill>
            <w14:solidFill>
              <w14:schemeClr w14:val="tx1"/>
            </w14:solidFill>
          </w14:textFill>
        </w:rPr>
        <w:t>现场与安全管理</w:t>
      </w:r>
      <w:r>
        <w:rPr>
          <w:rFonts w:hint="eastAsia" w:asciiTheme="minorEastAsia" w:hAnsiTheme="minorEastAsia"/>
          <w:color w:val="000000" w:themeColor="text1"/>
          <w:sz w:val="24"/>
          <w:szCs w:val="24"/>
          <w:highlight w:val="none"/>
          <w:lang w:eastAsia="zh-CN"/>
          <w14:textFill>
            <w14:solidFill>
              <w14:schemeClr w14:val="tx1"/>
            </w14:solidFill>
          </w14:textFill>
        </w:rPr>
        <w:t>：公司</w:t>
      </w:r>
      <w:r>
        <w:rPr>
          <w:rFonts w:asciiTheme="minorEastAsia" w:hAnsiTheme="minorEastAsia"/>
          <w:color w:val="000000" w:themeColor="text1"/>
          <w:sz w:val="24"/>
          <w:szCs w:val="24"/>
          <w:highlight w:val="none"/>
          <w:lang w:eastAsia="zh-CN"/>
          <w14:textFill>
            <w14:solidFill>
              <w14:schemeClr w14:val="tx1"/>
            </w14:solidFill>
          </w14:textFill>
        </w:rPr>
        <w:t>建立</w:t>
      </w:r>
      <w:r>
        <w:rPr>
          <w:rFonts w:hint="eastAsia" w:asciiTheme="minorEastAsia" w:hAnsiTheme="minorEastAsia"/>
          <w:color w:val="000000" w:themeColor="text1"/>
          <w:sz w:val="24"/>
          <w:szCs w:val="24"/>
          <w:highlight w:val="none"/>
          <w:lang w:eastAsia="zh-CN"/>
          <w14:textFill>
            <w14:solidFill>
              <w14:schemeClr w14:val="tx1"/>
            </w14:solidFill>
          </w14:textFill>
        </w:rPr>
        <w:t>了</w:t>
      </w:r>
      <w:r>
        <w:rPr>
          <w:rFonts w:asciiTheme="minorEastAsia" w:hAnsiTheme="minorEastAsia"/>
          <w:color w:val="000000" w:themeColor="text1"/>
          <w:sz w:val="24"/>
          <w:szCs w:val="24"/>
          <w:highlight w:val="none"/>
          <w:lang w:eastAsia="zh-CN"/>
          <w14:textFill>
            <w14:solidFill>
              <w14:schemeClr w14:val="tx1"/>
            </w14:solidFill>
          </w14:textFill>
        </w:rPr>
        <w:t>现场管理指标，并严格按照</w:t>
      </w:r>
      <w:r>
        <w:rPr>
          <w:rFonts w:hint="eastAsia" w:asciiTheme="minorEastAsia" w:hAnsiTheme="minorEastAsia"/>
          <w:color w:val="000000" w:themeColor="text1"/>
          <w:sz w:val="24"/>
          <w:szCs w:val="24"/>
          <w:highlight w:val="none"/>
          <w:lang w:eastAsia="zh-CN"/>
          <w14:textFill>
            <w14:solidFill>
              <w14:schemeClr w14:val="tx1"/>
            </w14:solidFill>
          </w14:textFill>
        </w:rPr>
        <w:t>6S</w:t>
      </w:r>
      <w:r>
        <w:rPr>
          <w:rFonts w:asciiTheme="minorEastAsia" w:hAnsiTheme="minorEastAsia"/>
          <w:color w:val="000000" w:themeColor="text1"/>
          <w:sz w:val="24"/>
          <w:szCs w:val="24"/>
          <w:highlight w:val="none"/>
          <w:lang w:eastAsia="zh-CN"/>
          <w14:textFill>
            <w14:solidFill>
              <w14:schemeClr w14:val="tx1"/>
            </w14:solidFill>
          </w14:textFill>
        </w:rPr>
        <w:t>标准执行。</w:t>
      </w:r>
      <w:r>
        <w:rPr>
          <w:rFonts w:hint="eastAsia" w:asciiTheme="minorEastAsia" w:hAnsiTheme="minorEastAsia"/>
          <w:color w:val="000000" w:themeColor="text1"/>
          <w:sz w:val="24"/>
          <w:szCs w:val="24"/>
          <w:highlight w:val="none"/>
          <w:lang w:eastAsia="zh-CN"/>
          <w14:textFill>
            <w14:solidFill>
              <w14:schemeClr w14:val="tx1"/>
            </w14:solidFill>
          </w14:textFill>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3.1.4产品售后质量诚信管理</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公司根据客户需求，展开售后服务责任。</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1）对产品质量及时进行跟踪，供销部每年行一次客户满意调查。与业界伙伴开放合作，持续为客户和全社会创造价值。</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2）在与市场业务员电话沟通时，询问公司产品质量情况，并及时将情况反馈给</w:t>
      </w:r>
      <w:r>
        <w:rPr>
          <w:rFonts w:hint="eastAsia" w:ascii="宋体" w:hAnsi="宋体"/>
          <w:color w:val="auto"/>
          <w:highlight w:val="none"/>
          <w:lang w:val="en-US" w:eastAsia="zh-CN"/>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color w:val="000000" w:themeColor="text1"/>
          <w:sz w:val="24"/>
          <w:szCs w:val="24"/>
          <w:highlight w:val="none"/>
          <w:lang w:val="en-US" w:eastAsia="zh-CN"/>
          <w14:textFill>
            <w14:solidFill>
              <w14:schemeClr w14:val="tx1"/>
            </w14:solidFill>
          </w14:textFill>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建立并实施了相应的营销策略，本着诚实守信的原则，与客户建立长期良好的战略合作关系，客按照公正公平、互惠互利的原则实现了共同发展；在顾客需求的识别上，公司尽最大可能了解顾客需求，建立并实施了《</w:t>
      </w:r>
      <w:r>
        <w:rPr>
          <w:rFonts w:hint="eastAsia" w:cs="Arial"/>
          <w:color w:val="333333"/>
          <w:sz w:val="24"/>
          <w:szCs w:val="24"/>
          <w:lang w:eastAsia="zh-CN"/>
        </w:rPr>
        <w:t>顾客满意度调查控制程序</w:t>
      </w:r>
      <w:r>
        <w:rPr>
          <w:rFonts w:hint="eastAsia" w:asciiTheme="minorEastAsia" w:hAnsiTheme="minorEastAsia"/>
          <w:color w:val="000000" w:themeColor="text1"/>
          <w:sz w:val="24"/>
          <w:szCs w:val="24"/>
          <w:highlight w:val="none"/>
          <w:lang w:eastAsia="zh-CN"/>
          <w14:textFill>
            <w14:solidFill>
              <w14:schemeClr w14:val="tx1"/>
            </w14:solidFill>
          </w14:textFill>
        </w:rPr>
        <w:t>》；重点确立顾客满意度指标并领先同行，增强了顾客对购买公司产品的信心。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3.2 质量文化建设</w:t>
      </w:r>
    </w:p>
    <w:p>
      <w:pPr>
        <w:pStyle w:val="5"/>
        <w:numPr>
          <w:ilvl w:val="2"/>
          <w:numId w:val="5"/>
        </w:numPr>
        <w:tabs>
          <w:tab w:val="left" w:pos="872"/>
        </w:tabs>
        <w:spacing w:line="360" w:lineRule="auto"/>
        <w:ind w:left="872"/>
        <w:rPr>
          <w:highlight w:val="none"/>
        </w:rPr>
      </w:pPr>
      <w:r>
        <w:rPr>
          <w:rFonts w:hint="eastAsia"/>
          <w:highlight w:val="none"/>
          <w:lang w:eastAsia="zh-CN"/>
        </w:rPr>
        <w:t>员工</w:t>
      </w:r>
      <w:r>
        <w:rPr>
          <w:rFonts w:hint="eastAsia"/>
          <w:highlight w:val="none"/>
        </w:rPr>
        <w:t>教育</w:t>
      </w:r>
    </w:p>
    <w:p>
      <w:pPr>
        <w:spacing w:line="360" w:lineRule="auto"/>
        <w:ind w:firstLine="480" w:firstLineChars="200"/>
        <w:rPr>
          <w:rFonts w:cs="宋体" w:asciiTheme="minorEastAsia" w:hAnsiTheme="minorEastAsia"/>
          <w:sz w:val="24"/>
          <w:szCs w:val="24"/>
          <w:highlight w:val="none"/>
          <w:lang w:eastAsia="zh-CN"/>
        </w:rPr>
      </w:pPr>
      <w:r>
        <w:rPr>
          <w:rFonts w:hint="eastAsia" w:asciiTheme="minorEastAsia" w:hAnsiTheme="minorEastAsia"/>
          <w:sz w:val="24"/>
          <w:szCs w:val="24"/>
          <w:highlight w:val="none"/>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建立并实施了《</w:t>
      </w:r>
      <w:r>
        <w:rPr>
          <w:rFonts w:hint="eastAsia" w:asciiTheme="minorEastAsia" w:hAnsiTheme="minorEastAsia"/>
          <w:sz w:val="24"/>
          <w:szCs w:val="24"/>
          <w:highlight w:val="none"/>
          <w:lang w:val="en-US" w:eastAsia="zh-CN"/>
        </w:rPr>
        <w:t>人力资源控制</w:t>
      </w:r>
      <w:r>
        <w:rPr>
          <w:rFonts w:hint="eastAsia" w:asciiTheme="minorEastAsia" w:hAnsiTheme="minorEastAsia"/>
          <w:sz w:val="24"/>
          <w:szCs w:val="24"/>
          <w:highlight w:val="none"/>
          <w:lang w:eastAsia="zh-CN"/>
        </w:rPr>
        <w:t>程序》。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highlight w:val="none"/>
          <w:lang w:eastAsia="zh-CN"/>
        </w:rPr>
        <w:t>业知识等培训内容。公司每年制定并下发了《年度培训计划》等，对质量诚信教育进行了安排布置。</w:t>
      </w:r>
    </w:p>
    <w:p>
      <w:pPr>
        <w:tabs>
          <w:tab w:val="left" w:pos="5400"/>
        </w:tabs>
        <w:spacing w:line="360" w:lineRule="auto"/>
        <w:jc w:val="center"/>
        <w:rPr>
          <w:rFonts w:ascii="黑体" w:hAnsi="黑体" w:eastAsia="黑体"/>
          <w:b/>
          <w:bCs/>
          <w:sz w:val="21"/>
          <w:szCs w:val="21"/>
          <w:highlight w:val="none"/>
        </w:rPr>
      </w:pPr>
      <w:r>
        <w:rPr>
          <w:rFonts w:hint="eastAsia" w:ascii="宋体" w:hAnsi="宋体" w:cs="宋体"/>
          <w:b/>
          <w:sz w:val="24"/>
          <w:highlight w:val="none"/>
        </w:rPr>
        <w:t>表</w:t>
      </w:r>
      <w:r>
        <w:rPr>
          <w:rFonts w:hint="eastAsia" w:ascii="宋体" w:hAnsi="宋体" w:cs="宋体"/>
          <w:b/>
          <w:sz w:val="24"/>
          <w:highlight w:val="none"/>
          <w:lang w:eastAsia="zh-CN"/>
        </w:rPr>
        <w:t>3</w:t>
      </w:r>
      <w:r>
        <w:rPr>
          <w:rFonts w:hint="eastAsia" w:ascii="宋体" w:hAnsi="宋体" w:cs="宋体"/>
          <w:b/>
          <w:sz w:val="24"/>
          <w:highlight w:val="none"/>
        </w:rPr>
        <w:t>.</w:t>
      </w:r>
      <w:r>
        <w:rPr>
          <w:rFonts w:hint="eastAsia" w:ascii="宋体" w:hAnsi="宋体" w:cs="宋体"/>
          <w:b/>
          <w:sz w:val="24"/>
          <w:highlight w:val="none"/>
          <w:lang w:eastAsia="zh-CN"/>
        </w:rPr>
        <w:t>2</w:t>
      </w:r>
      <w:r>
        <w:rPr>
          <w:rFonts w:hint="eastAsia" w:ascii="宋体" w:hAnsi="宋体" w:cs="宋体"/>
          <w:b/>
          <w:sz w:val="24"/>
          <w:highlight w:val="none"/>
        </w:rPr>
        <w:t>-</w:t>
      </w:r>
      <w:r>
        <w:rPr>
          <w:rFonts w:hint="eastAsia" w:ascii="宋体" w:hAnsi="宋体" w:cs="宋体"/>
          <w:b/>
          <w:sz w:val="24"/>
          <w:highlight w:val="none"/>
          <w:lang w:eastAsia="zh-CN"/>
        </w:rPr>
        <w:t xml:space="preserve">1 </w:t>
      </w:r>
      <w:r>
        <w:rPr>
          <w:rFonts w:hint="eastAsia" w:ascii="宋体" w:hAnsi="宋体" w:cs="宋体"/>
          <w:b/>
          <w:sz w:val="24"/>
          <w:highlight w:val="none"/>
        </w:rPr>
        <w:t>公司培训系统</w:t>
      </w:r>
    </w:p>
    <w:tbl>
      <w:tblPr>
        <w:tblStyle w:val="22"/>
        <w:tblpPr w:leftFromText="180" w:rightFromText="180" w:vertAnchor="text" w:horzAnchor="page" w:tblpX="939" w:tblpY="1622"/>
        <w:tblOverlap w:val="never"/>
        <w:tblW w:w="105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884"/>
        <w:gridCol w:w="1920"/>
        <w:gridCol w:w="1170"/>
        <w:gridCol w:w="1080"/>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atLeast"/>
          <w:tblHeader/>
        </w:trPr>
        <w:tc>
          <w:tcPr>
            <w:tcW w:w="487"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序号</w:t>
            </w:r>
          </w:p>
        </w:tc>
        <w:tc>
          <w:tcPr>
            <w:tcW w:w="4884"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课 程 名 称</w:t>
            </w:r>
          </w:p>
        </w:tc>
        <w:tc>
          <w:tcPr>
            <w:tcW w:w="192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 训 对 象</w:t>
            </w:r>
          </w:p>
        </w:tc>
        <w:tc>
          <w:tcPr>
            <w:tcW w:w="117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预定月份</w:t>
            </w:r>
          </w:p>
        </w:tc>
        <w:tc>
          <w:tcPr>
            <w:tcW w:w="108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培训频次</w:t>
            </w:r>
          </w:p>
        </w:tc>
        <w:tc>
          <w:tcPr>
            <w:tcW w:w="990" w:type="dxa"/>
            <w:noWrap w:val="0"/>
            <w:vAlign w:val="center"/>
          </w:tcPr>
          <w:p>
            <w:pPr>
              <w:spacing w:line="340" w:lineRule="exact"/>
              <w:jc w:val="center"/>
              <w:rPr>
                <w:rFonts w:hint="eastAsia" w:ascii="宋体" w:eastAsia="宋体"/>
                <w:iCs/>
                <w:color w:val="auto"/>
                <w:sz w:val="18"/>
                <w:szCs w:val="18"/>
                <w:lang w:eastAsia="zh-CN"/>
              </w:rPr>
            </w:pPr>
            <w:r>
              <w:rPr>
                <w:rFonts w:hint="eastAsia" w:ascii="宋体"/>
                <w:iCs/>
                <w:color w:val="auto"/>
                <w:sz w:val="18"/>
                <w:szCs w:val="18"/>
                <w:lang w:eastAsia="zh-CN"/>
              </w:rPr>
              <w:t>培训老师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eastAsia="宋体"/>
                <w:iCs/>
                <w:color w:val="auto"/>
                <w:lang w:val="en-US" w:eastAsia="zh-CN"/>
              </w:rPr>
            </w:pPr>
            <w:r>
              <w:rPr>
                <w:rFonts w:hint="eastAsia" w:ascii="宋体"/>
                <w:iCs/>
                <w:color w:val="auto"/>
                <w:lang w:val="en-US" w:eastAsia="zh-CN"/>
              </w:rPr>
              <w:t>1</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《管理手册》《程序文件》以及管理制度培训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2021.1.11</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2</w:t>
            </w:r>
          </w:p>
        </w:tc>
        <w:tc>
          <w:tcPr>
            <w:tcW w:w="4884" w:type="dxa"/>
            <w:noWrap w:val="0"/>
            <w:vAlign w:val="center"/>
          </w:tcPr>
          <w:p>
            <w:pPr>
              <w:spacing w:line="340" w:lineRule="exact"/>
              <w:jc w:val="center"/>
              <w:rPr>
                <w:rFonts w:hint="default" w:ascii="宋体"/>
                <w:iCs/>
                <w:color w:val="auto"/>
                <w:sz w:val="18"/>
                <w:szCs w:val="18"/>
                <w:lang w:val="en-US" w:eastAsia="zh-CN"/>
              </w:rPr>
            </w:pPr>
            <w:r>
              <w:rPr>
                <w:rFonts w:hint="eastAsia" w:ascii="宋体"/>
                <w:iCs/>
                <w:color w:val="auto"/>
                <w:sz w:val="18"/>
                <w:szCs w:val="18"/>
                <w:lang w:val="en-US" w:eastAsia="zh-CN"/>
              </w:rPr>
              <w:t>三级安全教育知识培训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新进员工</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 xml:space="preserve">2021.3.2 </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3</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安全知识、消防知识、火灾应急预案内容</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2021.3.22</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4</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质量、环境和安全管理体系内部审核知识培训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内审员</w:t>
            </w:r>
            <w:r>
              <w:rPr>
                <w:rFonts w:hint="default" w:ascii="宋体"/>
                <w:iCs/>
                <w:color w:val="auto"/>
                <w:sz w:val="18"/>
                <w:szCs w:val="18"/>
                <w:lang w:val="en-US" w:eastAsia="zh-CN"/>
              </w:rPr>
              <w:t xml:space="preserve"> </w:t>
            </w:r>
          </w:p>
        </w:tc>
        <w:tc>
          <w:tcPr>
            <w:tcW w:w="117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2021.4.15</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5</w:t>
            </w:r>
          </w:p>
        </w:tc>
        <w:tc>
          <w:tcPr>
            <w:tcW w:w="4884" w:type="dxa"/>
            <w:noWrap w:val="0"/>
            <w:vAlign w:val="center"/>
          </w:tcPr>
          <w:p>
            <w:pPr>
              <w:spacing w:line="340" w:lineRule="exact"/>
              <w:jc w:val="left"/>
              <w:rPr>
                <w:rFonts w:hint="eastAsia" w:ascii="宋体"/>
                <w:iCs/>
                <w:color w:val="auto"/>
                <w:sz w:val="18"/>
                <w:szCs w:val="18"/>
                <w:lang w:eastAsia="zh-CN"/>
              </w:rPr>
            </w:pPr>
            <w:r>
              <w:rPr>
                <w:rFonts w:hint="eastAsia" w:ascii="宋体"/>
                <w:iCs/>
                <w:color w:val="auto"/>
                <w:sz w:val="18"/>
                <w:szCs w:val="18"/>
                <w:lang w:val="en-US" w:eastAsia="zh-CN"/>
              </w:rPr>
              <w:t>DB33_T 944.1-2014《浙江制造评价规范-第1部分-通用要求》、DB33_T 944.2-2017《“浙江制造”评价规范 第2部分：管理要求》 相关知识培训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2021.5.17</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7</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《石油、石化、天然气及相关工业用钢制球阀》标准及认证实施细则的培训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2021.6.18</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8</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认证证书、认证标志的管理以及认证产品一致性知识培训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2021.7.19</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9</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检验员岗位技能培训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 xml:space="preserve">相关人员及各技质员 </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2021.8.17</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10</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阀门质量要求、标准讲解</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生产操作工、技质员</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2021.9.17</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default" w:ascii="宋体" w:eastAsia="宋体"/>
                <w:iCs/>
                <w:color w:val="auto"/>
                <w:lang w:val="en-US" w:eastAsia="zh-CN"/>
              </w:rPr>
            </w:pPr>
            <w:r>
              <w:rPr>
                <w:rFonts w:hint="eastAsia" w:ascii="宋体"/>
                <w:iCs/>
                <w:color w:val="auto"/>
                <w:lang w:val="en-US" w:eastAsia="zh-CN"/>
              </w:rPr>
              <w:t>11</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目标、重要环境因素、危险源、目标指标和管理方案</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2021.10.18</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4"/>
                <w:szCs w:val="22"/>
                <w:lang w:val="en-US" w:eastAsia="zh-CN" w:bidi="ar-SA"/>
              </w:rPr>
            </w:pPr>
            <w:r>
              <w:rPr>
                <w:rFonts w:hint="eastAsia" w:ascii="宋体"/>
                <w:iCs/>
                <w:color w:val="auto"/>
                <w:sz w:val="24"/>
                <w:lang w:val="en-US" w:eastAsia="zh-CN"/>
              </w:rPr>
              <w:t>12</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顾客或外部供方财产控制程序</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2021.11.22</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bl>
    <w:p>
      <w:pPr>
        <w:spacing w:line="500" w:lineRule="exact"/>
        <w:jc w:val="center"/>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 xml:space="preserve">      根据公司教育培训系统及计划对全体员工进行了质量诚信和质量管理意识方面的教育培训，做到有计划，有安排，有检查，有考核，有总结，确保了培训效果和质量。</w:t>
      </w:r>
    </w:p>
    <w:p>
      <w:pPr>
        <w:pStyle w:val="5"/>
        <w:numPr>
          <w:ilvl w:val="2"/>
          <w:numId w:val="5"/>
        </w:numPr>
        <w:tabs>
          <w:tab w:val="left" w:pos="993"/>
        </w:tabs>
        <w:spacing w:before="120" w:line="360" w:lineRule="auto"/>
        <w:ind w:left="873" w:hanging="448"/>
        <w:rPr>
          <w:sz w:val="24"/>
          <w:szCs w:val="24"/>
          <w:highlight w:val="none"/>
        </w:rPr>
      </w:pPr>
      <w:r>
        <w:rPr>
          <w:rFonts w:hint="eastAsia"/>
          <w:sz w:val="24"/>
          <w:szCs w:val="24"/>
          <w:highlight w:val="none"/>
        </w:rPr>
        <w:t>诚信自律</w:t>
      </w:r>
    </w:p>
    <w:p>
      <w:pPr>
        <w:pStyle w:val="5"/>
        <w:spacing w:line="360" w:lineRule="auto"/>
        <w:ind w:left="0" w:right="362" w:firstLine="266" w:firstLineChars="111"/>
        <w:rPr>
          <w:spacing w:val="2"/>
          <w:sz w:val="24"/>
          <w:szCs w:val="24"/>
          <w:highlight w:val="none"/>
          <w:lang w:eastAsia="zh-CN"/>
        </w:rPr>
      </w:pPr>
      <w:r>
        <w:rPr>
          <w:rFonts w:hint="eastAsia"/>
          <w:sz w:val="24"/>
          <w:szCs w:val="24"/>
          <w:highlight w:val="none"/>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spacing w:before="240" w:beforeLines="100" w:line="360" w:lineRule="auto"/>
        <w:jc w:val="both"/>
        <w:rPr>
          <w:rFonts w:ascii="宋体" w:cs="Arial"/>
          <w:b/>
          <w:bCs/>
          <w:sz w:val="24"/>
          <w:szCs w:val="24"/>
          <w:highlight w:val="none"/>
          <w:lang w:eastAsia="zh-CN"/>
        </w:rPr>
      </w:pPr>
      <w:r>
        <w:rPr>
          <w:rFonts w:ascii="宋体" w:hAnsi="宋体"/>
          <w:b/>
          <w:bCs/>
          <w:sz w:val="24"/>
          <w:szCs w:val="24"/>
          <w:highlight w:val="none"/>
          <w:lang w:eastAsia="zh-CN"/>
        </w:rPr>
        <w:t>3.3</w:t>
      </w:r>
      <w:r>
        <w:rPr>
          <w:rFonts w:hint="eastAsia" w:ascii="宋体" w:hAnsi="宋体" w:cs="Arial"/>
          <w:b/>
          <w:bCs/>
          <w:sz w:val="24"/>
          <w:szCs w:val="24"/>
          <w:highlight w:val="none"/>
          <w:lang w:eastAsia="zh-CN"/>
        </w:rPr>
        <w:t>营造诚信守法环境</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3.3.1</w:t>
      </w:r>
      <w:r>
        <w:rPr>
          <w:rFonts w:hint="eastAsia" w:ascii="宋体" w:hAnsi="宋体"/>
          <w:sz w:val="24"/>
          <w:szCs w:val="24"/>
          <w:highlight w:val="none"/>
          <w:lang w:eastAsia="zh-CN"/>
        </w:rPr>
        <w:t>恪守诚信</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公司恪守商业道德，坚持诚信经营和公平竞争原则。公司从多年的经营实践中总结提炼的价值观就是“</w:t>
      </w:r>
      <w:r>
        <w:rPr>
          <w:rFonts w:hint="eastAsia" w:ascii="宋体" w:hAnsi="宋体"/>
          <w:sz w:val="24"/>
          <w:szCs w:val="24"/>
          <w:highlight w:val="none"/>
          <w:lang w:val="en-US" w:eastAsia="zh-CN"/>
        </w:rPr>
        <w:t>诚信 创新 业绩 和谐</w:t>
      </w:r>
      <w:r>
        <w:rPr>
          <w:rFonts w:hint="eastAsia" w:ascii="宋体" w:hAnsi="宋体"/>
          <w:sz w:val="24"/>
          <w:szCs w:val="24"/>
          <w:highlight w:val="none"/>
          <w:lang w:eastAsia="zh-CN"/>
        </w:rPr>
        <w:t>”，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3.3.2</w:t>
      </w:r>
      <w:r>
        <w:rPr>
          <w:rFonts w:hint="eastAsia" w:ascii="宋体" w:hAnsi="宋体"/>
          <w:sz w:val="24"/>
          <w:szCs w:val="24"/>
          <w:highlight w:val="none"/>
          <w:lang w:eastAsia="zh-CN"/>
        </w:rPr>
        <w:t>遵纪守法</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公司高管带头认真学习《公司法》、《合同法》、</w:t>
      </w:r>
      <w:r>
        <w:rPr>
          <w:rFonts w:ascii="宋体" w:hAnsi="宋体"/>
          <w:sz w:val="24"/>
          <w:szCs w:val="24"/>
          <w:highlight w:val="none"/>
          <w:lang w:eastAsia="zh-CN"/>
        </w:rPr>
        <w:t>《产品质量法》、《安全生产法》</w:t>
      </w:r>
      <w:r>
        <w:rPr>
          <w:rFonts w:hint="eastAsia" w:ascii="宋体" w:hAnsi="宋体"/>
          <w:sz w:val="24"/>
          <w:szCs w:val="24"/>
          <w:highlight w:val="none"/>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highlight w:val="none"/>
          <w:lang w:eastAsia="zh-CN"/>
        </w:rPr>
        <w:t>坚持合法经营，依法纳税，诚信为本，</w:t>
      </w:r>
      <w:r>
        <w:rPr>
          <w:rFonts w:hint="eastAsia" w:ascii="宋体" w:hAnsi="宋体"/>
          <w:sz w:val="24"/>
          <w:szCs w:val="24"/>
          <w:highlight w:val="none"/>
          <w:lang w:eastAsia="zh-CN"/>
        </w:rPr>
        <w:t>一切活动遵守中国的法律、法令和有关条例规定。</w:t>
      </w:r>
    </w:p>
    <w:p>
      <w:pPr>
        <w:spacing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w:t>
      </w:r>
      <w:r>
        <w:rPr>
          <w:rFonts w:hint="eastAsia" w:ascii="宋体" w:hAnsi="宋体"/>
          <w:sz w:val="24"/>
          <w:szCs w:val="24"/>
          <w:highlight w:val="none"/>
          <w:lang w:val="en-US" w:eastAsia="zh-CN"/>
        </w:rPr>
        <w:t>质量管理</w:t>
      </w:r>
      <w:r>
        <w:rPr>
          <w:rFonts w:hint="eastAsia" w:ascii="宋体" w:hAnsi="宋体"/>
          <w:sz w:val="24"/>
          <w:szCs w:val="24"/>
          <w:highlight w:val="none"/>
          <w:lang w:eastAsia="zh-CN"/>
        </w:rPr>
        <w:t>、安全操作培训等一系列活动，此外积极进行生产区域产线改造，不断改善员工的生活和工作环境。</w:t>
      </w:r>
    </w:p>
    <w:p>
      <w:pPr>
        <w:rPr>
          <w:rFonts w:ascii="宋体" w:hAnsi="宋体"/>
          <w:sz w:val="24"/>
          <w:szCs w:val="24"/>
          <w:highlight w:val="none"/>
          <w:lang w:eastAsia="zh-CN"/>
        </w:rPr>
      </w:pPr>
      <w:r>
        <w:rPr>
          <w:rFonts w:hint="eastAsia" w:ascii="宋体" w:hAnsi="宋体"/>
          <w:sz w:val="24"/>
          <w:szCs w:val="24"/>
          <w:highlight w:val="none"/>
          <w:lang w:eastAsia="zh-CN"/>
        </w:rPr>
        <w:br w:type="page"/>
      </w:r>
    </w:p>
    <w:p>
      <w:pPr>
        <w:pStyle w:val="5"/>
        <w:spacing w:before="360" w:beforeLines="150" w:line="360" w:lineRule="auto"/>
        <w:ind w:left="0"/>
        <w:jc w:val="center"/>
        <w:outlineLvl w:val="1"/>
        <w:rPr>
          <w:rFonts w:ascii="黑体" w:hAnsi="黑体" w:eastAsia="黑体"/>
          <w:sz w:val="15"/>
          <w:szCs w:val="15"/>
          <w:highlight w:val="none"/>
          <w:lang w:eastAsia="zh-CN"/>
        </w:rPr>
      </w:pPr>
      <w:bookmarkStart w:id="20" w:name="_Toc27713_WPSOffice_Level2"/>
      <w:bookmarkStart w:id="21" w:name="_Toc24912743"/>
    </w:p>
    <w:p>
      <w:pPr>
        <w:pStyle w:val="5"/>
        <w:spacing w:line="360" w:lineRule="auto"/>
        <w:ind w:left="0"/>
        <w:jc w:val="center"/>
        <w:outlineLvl w:val="1"/>
        <w:rPr>
          <w:rFonts w:ascii="黑体" w:hAnsi="黑体" w:eastAsia="黑体"/>
          <w:sz w:val="32"/>
          <w:szCs w:val="32"/>
          <w:highlight w:val="none"/>
          <w:lang w:eastAsia="zh-CN"/>
        </w:rPr>
      </w:pPr>
      <w:r>
        <w:rPr>
          <w:rFonts w:hint="eastAsia" w:ascii="黑体" w:hAnsi="黑体" w:eastAsia="黑体"/>
          <w:sz w:val="32"/>
          <w:szCs w:val="32"/>
          <w:highlight w:val="none"/>
          <w:lang w:eastAsia="zh-CN"/>
        </w:rPr>
        <w:t>第四章  质量管理基础</w:t>
      </w:r>
      <w:bookmarkEnd w:id="20"/>
      <w:bookmarkEnd w:id="21"/>
    </w:p>
    <w:p>
      <w:pPr>
        <w:pStyle w:val="5"/>
        <w:spacing w:line="360" w:lineRule="auto"/>
        <w:rPr>
          <w:rFonts w:ascii="Cambria" w:hAnsi="Cambria" w:cs="Cambria"/>
          <w:sz w:val="24"/>
          <w:szCs w:val="24"/>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4.1 标准管理</w:t>
      </w:r>
    </w:p>
    <w:p>
      <w:pPr>
        <w:pStyle w:val="5"/>
        <w:spacing w:line="360" w:lineRule="auto"/>
        <w:ind w:right="362" w:firstLine="520"/>
        <w:jc w:val="both"/>
        <w:rPr>
          <w:sz w:val="24"/>
          <w:szCs w:val="24"/>
          <w:highlight w:val="none"/>
          <w:lang w:eastAsia="zh-CN"/>
        </w:rPr>
      </w:pPr>
      <w:r>
        <w:rPr>
          <w:rFonts w:hint="eastAsia"/>
          <w:sz w:val="24"/>
          <w:szCs w:val="24"/>
          <w:highlight w:val="none"/>
          <w:lang w:eastAsia="zh-CN"/>
        </w:rPr>
        <w:t>公司注重标准化体系建设，将标准化工作作为企业的一项主要工作。建立了较为完备的企业标准化体系。质量管理标准方面，以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sz w:val="24"/>
          <w:szCs w:val="24"/>
          <w:highlight w:val="none"/>
          <w:lang w:eastAsia="zh-CN"/>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公司质量管理体系文件结构</w:t>
      </w:r>
    </w:p>
    <w:p>
      <w:pPr>
        <w:adjustRightInd w:val="0"/>
        <w:snapToGrid w:val="0"/>
        <w:spacing w:before="120" w:beforeLines="50" w:line="360" w:lineRule="auto"/>
        <w:ind w:left="220" w:leftChars="100" w:right="220" w:rightChars="100" w:firstLine="480" w:firstLineChars="200"/>
        <w:jc w:val="center"/>
        <w:rPr>
          <w:rFonts w:ascii="宋体"/>
          <w:sz w:val="24"/>
          <w:szCs w:val="24"/>
          <w:highlight w:val="none"/>
          <w:lang w:eastAsia="zh-CN"/>
        </w:rPr>
      </w:pPr>
      <w:r>
        <w:rPr>
          <w:rFonts w:ascii="宋体"/>
          <w:sz w:val="24"/>
          <w:szCs w:val="24"/>
          <w:highlight w:val="none"/>
          <w:lang w:eastAsia="zh-CN"/>
        </w:rPr>
        <w:drawing>
          <wp:inline distT="0" distB="0" distL="0" distR="0">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2519680" cy="1637665"/>
                    </a:xfrm>
                    <a:prstGeom prst="rect">
                      <a:avLst/>
                    </a:prstGeom>
                    <a:noFill/>
                    <a:ln w="9525">
                      <a:noFill/>
                      <a:miter lim="800000"/>
                      <a:headEnd/>
                      <a:tailEnd/>
                    </a:ln>
                  </pic:spPr>
                </pic:pic>
              </a:graphicData>
            </a:graphic>
          </wp:inline>
        </w:drawing>
      </w:r>
    </w:p>
    <w:p>
      <w:pPr>
        <w:spacing w:before="120" w:beforeLines="50" w:line="360" w:lineRule="auto"/>
        <w:ind w:right="486" w:rightChars="221" w:firstLine="480" w:firstLineChars="200"/>
        <w:jc w:val="both"/>
        <w:rPr>
          <w:rFonts w:ascii="宋体" w:hAnsi="宋体" w:cs="宋体"/>
          <w:sz w:val="24"/>
          <w:highlight w:val="none"/>
          <w:lang w:eastAsia="zh-CN"/>
        </w:rPr>
      </w:pPr>
      <w:r>
        <w:rPr>
          <w:rFonts w:hint="eastAsia" w:cs="宋体" w:asciiTheme="minorEastAsia" w:hAnsiTheme="minorEastAsia"/>
          <w:sz w:val="24"/>
          <w:szCs w:val="24"/>
          <w:highlight w:val="none"/>
          <w:lang w:eastAsia="zh-CN"/>
        </w:rPr>
        <w:t>公司建立了以技术标准为主体，层次分明、机构合理、覆盖各专业的标准体系。</w:t>
      </w:r>
    </w:p>
    <w:p>
      <w:pPr>
        <w:pStyle w:val="5"/>
        <w:spacing w:before="240" w:beforeLines="100" w:after="120" w:afterLines="5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4.2 计量管理</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严格执行《中华人民共和国计量法》等文件法规，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为确保产品质量，在生产工艺中严格过程控制，对操作工使用的检测工具、计量器具进行管理，按要求定时进行校准，确保计量设备计量的准确性。</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p>
    <w:p>
      <w:pPr>
        <w:spacing w:before="240" w:beforeLines="100" w:line="360" w:lineRule="auto"/>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4.3 认证管理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ascii="宋体" w:hAnsi="宋体" w:eastAsia="宋体" w:cs="宋体"/>
          <w:color w:val="000000" w:themeColor="text1"/>
          <w:sz w:val="24"/>
          <w:szCs w:val="26"/>
          <w:highlight w:val="none"/>
          <w:lang w:eastAsia="zh-CN"/>
          <w14:textFill>
            <w14:solidFill>
              <w14:schemeClr w14:val="tx1"/>
            </w14:solidFill>
          </w14:textFill>
        </w:rPr>
        <w:t>为全面提升产品质量，确保各项生产经营活动规范及标准，公司先后通过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宋体" w:hAnsi="宋体" w:eastAsia="宋体" w:cs="宋体"/>
          <w:color w:val="000000" w:themeColor="text1"/>
          <w:sz w:val="24"/>
          <w:szCs w:val="26"/>
          <w:highlight w:val="none"/>
          <w:lang w:eastAsia="zh-CN"/>
          <w14:textFill>
            <w14:solidFill>
              <w14:schemeClr w14:val="tx1"/>
            </w14:solidFill>
          </w14:textFill>
        </w:rPr>
        <w:t>管</w:t>
      </w:r>
      <w:r>
        <w:rPr>
          <w:rFonts w:hint="eastAsia"/>
          <w:color w:val="000000" w:themeColor="text1"/>
          <w:sz w:val="24"/>
          <w:szCs w:val="26"/>
          <w:highlight w:val="none"/>
          <w:lang w:eastAsia="zh-CN"/>
          <w14:textFill>
            <w14:solidFill>
              <w14:schemeClr w14:val="tx1"/>
            </w14:solidFill>
          </w14:textFill>
        </w:rPr>
        <w:t>理体系认证。</w:t>
      </w:r>
    </w:p>
    <w:p>
      <w:pPr>
        <w:spacing w:line="276"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公司坚持“</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保护环境、节能高效、预防污染、遵章守纪、持续改善；安全第一、以人为本、预防为主、安全健康、持续改进</w:t>
      </w:r>
      <w:r>
        <w:rPr>
          <w:rFonts w:hint="eastAsia"/>
          <w:color w:val="000000" w:themeColor="text1"/>
          <w:sz w:val="24"/>
          <w:szCs w:val="26"/>
          <w:highlight w:val="none"/>
          <w:lang w:eastAsia="zh-CN"/>
          <w14:textFill>
            <w14:solidFill>
              <w14:schemeClr w14:val="tx1"/>
            </w14:solidFill>
          </w14:textFill>
        </w:rPr>
        <w:t>”的ES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before="240" w:beforeLines="100" w:line="360" w:lineRule="auto"/>
        <w:ind w:left="0" w:right="493"/>
        <w:rPr>
          <w:w w:val="99"/>
          <w:sz w:val="24"/>
          <w:highlight w:val="none"/>
          <w:lang w:eastAsia="zh-CN"/>
        </w:rPr>
      </w:pPr>
      <w:r>
        <w:rPr>
          <w:rFonts w:hint="eastAsia" w:asciiTheme="majorEastAsia" w:hAnsiTheme="majorEastAsia" w:eastAsiaTheme="majorEastAsia" w:cstheme="majorEastAsia"/>
          <w:b/>
          <w:bCs/>
          <w:sz w:val="24"/>
          <w:highlight w:val="none"/>
          <w:lang w:eastAsia="zh-CN"/>
        </w:rPr>
        <w:t>4.4 特种设备安全管理</w:t>
      </w:r>
    </w:p>
    <w:p>
      <w:pPr>
        <w:pStyle w:val="5"/>
        <w:spacing w:line="360" w:lineRule="auto"/>
        <w:ind w:left="0" w:right="47"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highlight w:val="none"/>
          <w:lang w:eastAsia="zh-CN"/>
        </w:rPr>
      </w:pPr>
      <w:bookmarkStart w:id="22" w:name="_Toc13528_WPSOffice_Level2"/>
      <w:bookmarkStart w:id="23" w:name="_Toc24912744"/>
      <w:r>
        <w:rPr>
          <w:rFonts w:hint="eastAsia"/>
          <w:spacing w:val="2"/>
          <w:highlight w:val="none"/>
          <w:lang w:eastAsia="zh-CN"/>
        </w:rPr>
        <w:br w:type="page"/>
      </w:r>
    </w:p>
    <w:p>
      <w:pPr>
        <w:pStyle w:val="29"/>
        <w:spacing w:line="419" w:lineRule="exact"/>
        <w:ind w:left="3129"/>
        <w:rPr>
          <w:highlight w:val="none"/>
          <w:lang w:eastAsia="zh-CN"/>
        </w:rPr>
      </w:pPr>
      <w:r>
        <w:rPr>
          <w:rFonts w:hint="eastAsia"/>
          <w:spacing w:val="2"/>
          <w:highlight w:val="none"/>
          <w:lang w:eastAsia="zh-CN"/>
        </w:rPr>
        <w:t>第五</w:t>
      </w:r>
      <w:r>
        <w:rPr>
          <w:rFonts w:hint="eastAsia"/>
          <w:highlight w:val="none"/>
          <w:lang w:eastAsia="zh-CN"/>
        </w:rPr>
        <w:t xml:space="preserve">章  </w:t>
      </w:r>
      <w:r>
        <w:rPr>
          <w:rFonts w:hint="eastAsia"/>
          <w:spacing w:val="2"/>
          <w:highlight w:val="none"/>
          <w:lang w:eastAsia="zh-CN"/>
        </w:rPr>
        <w:t>产品质</w:t>
      </w:r>
      <w:r>
        <w:rPr>
          <w:rFonts w:hint="eastAsia"/>
          <w:highlight w:val="none"/>
          <w:lang w:eastAsia="zh-CN"/>
        </w:rPr>
        <w:t>量</w:t>
      </w:r>
      <w:r>
        <w:rPr>
          <w:rFonts w:hint="eastAsia"/>
          <w:spacing w:val="2"/>
          <w:highlight w:val="none"/>
          <w:lang w:eastAsia="zh-CN"/>
        </w:rPr>
        <w:t>责</w:t>
      </w:r>
      <w:r>
        <w:rPr>
          <w:rFonts w:hint="eastAsia"/>
          <w:highlight w:val="none"/>
          <w:lang w:eastAsia="zh-CN"/>
        </w:rPr>
        <w:t>任</w:t>
      </w:r>
      <w:bookmarkEnd w:id="22"/>
      <w:bookmarkEnd w:id="23"/>
    </w:p>
    <w:p>
      <w:pPr>
        <w:spacing w:before="17" w:line="220" w:lineRule="exact"/>
        <w:rPr>
          <w:color w:val="FF0000"/>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5.1 产品质量水平</w:t>
      </w:r>
    </w:p>
    <w:p>
      <w:pPr>
        <w:spacing w:line="360" w:lineRule="auto"/>
        <w:ind w:firstLine="480" w:firstLineChars="20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本公司主要产品主要为</w:t>
      </w:r>
      <w:r>
        <w:rPr>
          <w:rFonts w:hint="eastAsia"/>
          <w:color w:val="000000" w:themeColor="text1"/>
          <w:sz w:val="24"/>
          <w:szCs w:val="24"/>
          <w:highlight w:val="none"/>
          <w:lang w:val="en-US" w:eastAsia="zh-CN"/>
          <w14:textFill>
            <w14:solidFill>
              <w14:schemeClr w14:val="tx1"/>
            </w14:solidFill>
          </w14:textFill>
        </w:rPr>
        <w:t>阀门</w:t>
      </w:r>
      <w:r>
        <w:rPr>
          <w:rFonts w:hint="eastAsia"/>
          <w:color w:val="000000" w:themeColor="text1"/>
          <w:sz w:val="24"/>
          <w:szCs w:val="24"/>
          <w:highlight w:val="none"/>
          <w:lang w:eastAsia="zh-CN"/>
          <w14:textFill>
            <w14:solidFill>
              <w14:schemeClr w14:val="tx1"/>
            </w14:solidFill>
          </w14:textFill>
        </w:rPr>
        <w:t>，产品达到“浙江制造”认证标准的水平。</w:t>
      </w:r>
    </w:p>
    <w:p>
      <w:pPr>
        <w:spacing w:line="360" w:lineRule="auto"/>
        <w:ind w:firstLine="480" w:firstLineChars="200"/>
        <w:rPr>
          <w:sz w:val="24"/>
          <w:szCs w:val="24"/>
          <w:highlight w:val="none"/>
          <w:lang w:eastAsia="zh-CN"/>
        </w:rPr>
      </w:pPr>
      <w:r>
        <w:rPr>
          <w:rFonts w:hint="eastAsia"/>
          <w:color w:val="000000" w:themeColor="text1"/>
          <w:sz w:val="24"/>
          <w:szCs w:val="24"/>
          <w:highlight w:val="none"/>
          <w:lang w:eastAsia="zh-CN"/>
          <w14:textFill>
            <w14:solidFill>
              <w14:schemeClr w14:val="tx1"/>
            </w14:solidFill>
          </w14:textFill>
        </w:rPr>
        <w:t>产品的关键和重要特性必须经过100%工序检测合格才进行转序。产品一次交验的合格率达到98%以上。</w:t>
      </w:r>
    </w:p>
    <w:p>
      <w:pPr>
        <w:pStyle w:val="44"/>
        <w:spacing w:after="156"/>
        <w:rPr>
          <w:rFonts w:hint="eastAsia" w:eastAsia="宋体"/>
          <w:sz w:val="24"/>
          <w:szCs w:val="24"/>
          <w:highlight w:val="none"/>
          <w:lang w:eastAsia="zh-CN"/>
        </w:rPr>
      </w:pPr>
      <w:r>
        <w:drawing>
          <wp:inline distT="0" distB="0" distL="114300" distR="114300">
            <wp:extent cx="4029075" cy="567690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4029075" cy="5676900"/>
                    </a:xfrm>
                    <a:prstGeom prst="rect">
                      <a:avLst/>
                    </a:prstGeom>
                    <a:noFill/>
                    <a:ln>
                      <a:noFill/>
                    </a:ln>
                  </pic:spPr>
                </pic:pic>
              </a:graphicData>
            </a:graphic>
          </wp:inline>
        </w:drawing>
      </w:r>
    </w:p>
    <w:p>
      <w:pPr>
        <w:pStyle w:val="44"/>
        <w:tabs>
          <w:tab w:val="left" w:pos="2472"/>
        </w:tabs>
        <w:spacing w:after="156"/>
        <w:jc w:val="left"/>
        <w:rPr>
          <w:rFonts w:hint="eastAsia" w:eastAsia="宋体"/>
          <w:sz w:val="24"/>
          <w:szCs w:val="24"/>
          <w:highlight w:val="none"/>
          <w:lang w:eastAsia="zh-CN"/>
        </w:rPr>
      </w:pPr>
      <w:r>
        <w:rPr>
          <w:rFonts w:hint="eastAsia"/>
          <w:sz w:val="24"/>
          <w:szCs w:val="24"/>
          <w:highlight w:val="none"/>
          <w:lang w:eastAsia="zh-CN"/>
        </w:rPr>
        <w:tab/>
      </w:r>
    </w:p>
    <w:p>
      <w:pPr>
        <w:pStyle w:val="44"/>
        <w:spacing w:after="156"/>
        <w:rPr>
          <w:sz w:val="24"/>
          <w:szCs w:val="24"/>
          <w:highlight w:val="none"/>
        </w:rPr>
      </w:pPr>
    </w:p>
    <w:p>
      <w:pPr>
        <w:pStyle w:val="44"/>
        <w:spacing w:after="156"/>
        <w:rPr>
          <w:rFonts w:ascii="Times New Roman" w:hAnsi="Times New Roman"/>
          <w:kern w:val="2"/>
          <w:highlight w:val="none"/>
        </w:rPr>
      </w:pPr>
      <w:r>
        <w:rPr>
          <w:rFonts w:hint="eastAsia"/>
          <w:sz w:val="24"/>
          <w:szCs w:val="24"/>
          <w:highlight w:val="none"/>
        </w:rPr>
        <w:t>图5.1  质量管理体系证书</w:t>
      </w:r>
    </w:p>
    <w:p>
      <w:pPr>
        <w:spacing w:before="240" w:beforeLines="100" w:line="360" w:lineRule="auto"/>
        <w:rPr>
          <w:rFonts w:hint="eastAsia" w:asciiTheme="majorEastAsia" w:hAnsiTheme="majorEastAsia" w:eastAsiaTheme="majorEastAsia" w:cstheme="majorEastAsia"/>
          <w:b/>
          <w:bCs/>
          <w:sz w:val="24"/>
          <w:highlight w:val="none"/>
          <w:lang w:eastAsia="zh-CN"/>
        </w:rPr>
      </w:pPr>
    </w:p>
    <w:p>
      <w:pPr>
        <w:spacing w:before="240" w:beforeLines="100" w:line="360" w:lineRule="auto"/>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5.2 产品售后责任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公司根据客户需求，展开售后服务责任。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1）对产品质量及时进行跟踪，供销部每年行一次客户满意调查。与业界伙伴开放合作，持续为客户和全社会创造价值。</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2）在与</w:t>
      </w:r>
      <w:r>
        <w:rPr>
          <w:rFonts w:hint="eastAsia"/>
          <w:color w:val="000000" w:themeColor="text1"/>
          <w:sz w:val="24"/>
          <w:szCs w:val="24"/>
          <w:highlight w:val="none"/>
          <w:lang w:val="en-US" w:eastAsia="zh-CN"/>
          <w14:textFill>
            <w14:solidFill>
              <w14:schemeClr w14:val="tx1"/>
            </w14:solidFill>
          </w14:textFill>
        </w:rPr>
        <w:t>销售</w:t>
      </w:r>
      <w:r>
        <w:rPr>
          <w:rFonts w:hint="eastAsia"/>
          <w:color w:val="000000" w:themeColor="text1"/>
          <w:sz w:val="24"/>
          <w:szCs w:val="24"/>
          <w:highlight w:val="none"/>
          <w:lang w:eastAsia="zh-CN"/>
          <w14:textFill>
            <w14:solidFill>
              <w14:schemeClr w14:val="tx1"/>
            </w14:solidFill>
          </w14:textFill>
        </w:rPr>
        <w:t>业务员电话沟通时，询问公司产品质量情况，并及时将情况反馈给技质部。</w:t>
      </w:r>
    </w:p>
    <w:p>
      <w:pPr>
        <w:pStyle w:val="5"/>
        <w:spacing w:line="360" w:lineRule="auto"/>
        <w:ind w:left="0" w:firstLine="48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3）</w:t>
      </w:r>
      <w:r>
        <w:rPr>
          <w:rFonts w:hint="eastAsia"/>
          <w:color w:val="auto"/>
          <w:highlight w:val="none"/>
          <w:lang w:val="en-US" w:eastAsia="zh-CN"/>
        </w:rPr>
        <w:t>技质部</w:t>
      </w:r>
      <w:r>
        <w:rPr>
          <w:rFonts w:hint="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公司本着诚实守信的原则，</w:t>
      </w:r>
      <w:r>
        <w:rPr>
          <w:rFonts w:hint="eastAsia" w:asciiTheme="minorEastAsia" w:hAnsiTheme="minorEastAsia"/>
          <w:color w:val="000000" w:themeColor="text1"/>
          <w:sz w:val="24"/>
          <w:szCs w:val="24"/>
          <w:highlight w:val="none"/>
          <w:lang w:eastAsia="zh-CN"/>
          <w14:textFill>
            <w14:solidFill>
              <w14:schemeClr w14:val="tx1"/>
            </w14:solidFill>
          </w14:textFill>
        </w:rPr>
        <w:t>与客户建立长期良好的战略合作关系，客按照公正公平、互惠互利的原则实现了共同发展；在顾客需求的识别上，公司尽最大可能了解顾客需求，建立并实施了《顾客</w:t>
      </w:r>
      <w:r>
        <w:rPr>
          <w:rFonts w:hint="eastAsia" w:asciiTheme="minorEastAsia" w:hAnsiTheme="minorEastAsia"/>
          <w:color w:val="000000" w:themeColor="text1"/>
          <w:sz w:val="24"/>
          <w:szCs w:val="24"/>
          <w:highlight w:val="none"/>
          <w:lang w:val="en-US" w:eastAsia="zh-CN"/>
          <w14:textFill>
            <w14:solidFill>
              <w14:schemeClr w14:val="tx1"/>
            </w14:solidFill>
          </w14:textFill>
        </w:rPr>
        <w:t>投诉及</w:t>
      </w:r>
      <w:r>
        <w:rPr>
          <w:rFonts w:hint="eastAsia" w:asciiTheme="minorEastAsia" w:hAnsiTheme="minorEastAsia"/>
          <w:color w:val="000000" w:themeColor="text1"/>
          <w:sz w:val="24"/>
          <w:szCs w:val="24"/>
          <w:highlight w:val="none"/>
          <w:lang w:eastAsia="zh-CN"/>
          <w14:textFill>
            <w14:solidFill>
              <w14:schemeClr w14:val="tx1"/>
            </w14:solidFill>
          </w14:textFill>
        </w:rPr>
        <w:t>满意度</w:t>
      </w:r>
      <w:r>
        <w:rPr>
          <w:rFonts w:hint="eastAsia" w:asciiTheme="minorEastAsia" w:hAnsiTheme="minorEastAsia"/>
          <w:color w:val="000000" w:themeColor="text1"/>
          <w:sz w:val="24"/>
          <w:szCs w:val="24"/>
          <w:highlight w:val="none"/>
          <w:lang w:val="en-US" w:eastAsia="zh-CN"/>
          <w14:textFill>
            <w14:solidFill>
              <w14:schemeClr w14:val="tx1"/>
            </w14:solidFill>
          </w14:textFill>
        </w:rPr>
        <w:t>测量</w:t>
      </w:r>
      <w:r>
        <w:rPr>
          <w:rFonts w:hint="eastAsia" w:asciiTheme="minorEastAsia" w:hAnsiTheme="minorEastAsia"/>
          <w:color w:val="000000" w:themeColor="text1"/>
          <w:sz w:val="24"/>
          <w:szCs w:val="24"/>
          <w:highlight w:val="none"/>
          <w:lang w:eastAsia="zh-CN"/>
          <w14:textFill>
            <w14:solidFill>
              <w14:schemeClr w14:val="tx1"/>
            </w14:solidFill>
          </w14:textFill>
        </w:rPr>
        <w:t>控制程序》；重点确立顾客满意度指标并领先同行，增强了顾客对购买公司产品的信心。</w:t>
      </w:r>
    </w:p>
    <w:p>
      <w:pPr>
        <w:pStyle w:val="5"/>
        <w:spacing w:before="240" w:beforeLines="10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5.3企业社会责任</w:t>
      </w:r>
    </w:p>
    <w:p>
      <w:pPr>
        <w:pStyle w:val="5"/>
        <w:spacing w:line="360" w:lineRule="auto"/>
        <w:ind w:left="0" w:firstLine="480"/>
        <w:rPr>
          <w:color w:val="000000" w:themeColor="text1"/>
          <w:kern w:val="2"/>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highlight w:val="none"/>
          <w:lang w:eastAsia="zh-CN"/>
          <w14:textFill>
            <w14:solidFill>
              <w14:schemeClr w14:val="tx1"/>
            </w14:solidFill>
          </w14:textFill>
        </w:rPr>
        <w:t>《社会责任报告》。</w:t>
      </w:r>
    </w:p>
    <w:p>
      <w:pPr>
        <w:rPr>
          <w:rFonts w:ascii="黑体" w:hAnsi="黑体" w:eastAsia="黑体"/>
          <w:spacing w:val="2"/>
          <w:sz w:val="32"/>
          <w:szCs w:val="32"/>
          <w:highlight w:val="none"/>
          <w:lang w:eastAsia="zh-CN"/>
        </w:rPr>
      </w:pPr>
      <w:bookmarkStart w:id="24" w:name="_Toc22209_WPSOffice_Level2"/>
      <w:r>
        <w:rPr>
          <w:rFonts w:hint="eastAsia" w:ascii="黑体" w:hAnsi="黑体" w:eastAsia="黑体"/>
          <w:spacing w:val="2"/>
          <w:sz w:val="32"/>
          <w:szCs w:val="32"/>
          <w:highlight w:val="none"/>
          <w:lang w:eastAsia="zh-CN"/>
        </w:rPr>
        <w:br w:type="page"/>
      </w:r>
    </w:p>
    <w:p>
      <w:pPr>
        <w:pStyle w:val="5"/>
        <w:spacing w:line="360" w:lineRule="auto"/>
        <w:ind w:left="0" w:firstLine="480"/>
        <w:jc w:val="center"/>
        <w:rPr>
          <w:color w:val="FF0000"/>
          <w:kern w:val="2"/>
          <w:sz w:val="24"/>
          <w:szCs w:val="24"/>
          <w:highlight w:val="none"/>
          <w:lang w:eastAsia="zh-CN"/>
        </w:rPr>
      </w:pPr>
      <w:r>
        <w:rPr>
          <w:rFonts w:hint="eastAsia" w:ascii="黑体" w:hAnsi="黑体" w:eastAsia="黑体"/>
          <w:spacing w:val="2"/>
          <w:sz w:val="32"/>
          <w:szCs w:val="32"/>
          <w:highlight w:val="none"/>
          <w:lang w:eastAsia="zh-CN"/>
        </w:rPr>
        <w:t>第六章  产品质量承诺</w:t>
      </w:r>
      <w:bookmarkEnd w:id="24"/>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6.1 质量投诉处理</w:t>
      </w:r>
    </w:p>
    <w:p>
      <w:pPr>
        <w:spacing w:line="360" w:lineRule="auto"/>
        <w:ind w:firstLine="480" w:firstLineChars="200"/>
        <w:rPr>
          <w:rFonts w:ascii="宋体" w:hAnsi="宋体"/>
          <w:kern w:val="2"/>
          <w:sz w:val="24"/>
          <w:szCs w:val="24"/>
          <w:highlight w:val="none"/>
          <w:lang w:eastAsia="zh-CN"/>
        </w:rPr>
      </w:pPr>
      <w:r>
        <w:rPr>
          <w:rFonts w:hint="eastAsia" w:asciiTheme="minorEastAsia" w:hAnsiTheme="minorEastAsia"/>
          <w:sz w:val="24"/>
          <w:szCs w:val="24"/>
          <w:highlight w:val="none"/>
          <w:lang w:eastAsia="zh-CN"/>
        </w:rPr>
        <w:t>投诉的</w:t>
      </w:r>
      <w:r>
        <w:rPr>
          <w:rFonts w:hint="eastAsia" w:ascii="宋体" w:hAnsi="宋体"/>
          <w:kern w:val="2"/>
          <w:sz w:val="24"/>
          <w:szCs w:val="24"/>
          <w:highlight w:val="none"/>
          <w:lang w:eastAsia="zh-CN"/>
        </w:rPr>
        <w:t>处理流程：供销部负责收集客户信息，接收和处理客户的投诉，流程见</w:t>
      </w:r>
      <w:r>
        <w:rPr>
          <w:highlight w:val="none"/>
        </w:rPr>
        <w:fldChar w:fldCharType="begin"/>
      </w:r>
      <w:r>
        <w:rPr>
          <w:highlight w:val="none"/>
          <w:lang w:eastAsia="zh-CN"/>
        </w:rPr>
        <w:instrText xml:space="preserve"> REF _Ref363386902 \h  \* MERGEFORMAT </w:instrText>
      </w:r>
      <w:r>
        <w:rPr>
          <w:highlight w:val="none"/>
        </w:rPr>
        <w:fldChar w:fldCharType="separate"/>
      </w:r>
      <w:r>
        <w:rPr>
          <w:rFonts w:hint="eastAsia" w:ascii="宋体" w:hAnsi="宋体"/>
          <w:kern w:val="2"/>
          <w:sz w:val="24"/>
          <w:szCs w:val="24"/>
          <w:highlight w:val="none"/>
          <w:lang w:eastAsia="zh-CN"/>
        </w:rPr>
        <w:t>图6.1投诉管理流程</w:t>
      </w:r>
      <w:r>
        <w:rPr>
          <w:highlight w:val="none"/>
        </w:rPr>
        <w:fldChar w:fldCharType="end"/>
      </w:r>
      <w:r>
        <w:rPr>
          <w:rFonts w:hint="eastAsia" w:ascii="宋体" w:hAnsi="宋体"/>
          <w:kern w:val="2"/>
          <w:sz w:val="24"/>
          <w:szCs w:val="24"/>
          <w:highlight w:val="none"/>
          <w:lang w:eastAsia="zh-CN"/>
        </w:rPr>
        <w:t>。</w:t>
      </w:r>
      <w:r>
        <w:rPr>
          <w:rFonts w:hint="eastAsia" w:ascii="宋体" w:hAnsi="宋体"/>
          <w:kern w:val="2"/>
          <w:sz w:val="24"/>
          <w:szCs w:val="24"/>
          <w:highlight w:val="none"/>
          <w:lang w:val="en-US" w:eastAsia="zh-CN"/>
        </w:rPr>
        <w:t>技质部</w:t>
      </w:r>
      <w:r>
        <w:rPr>
          <w:rFonts w:hint="eastAsia" w:ascii="宋体" w:hAnsi="宋体"/>
          <w:kern w:val="2"/>
          <w:sz w:val="24"/>
          <w:szCs w:val="24"/>
          <w:highlight w:val="none"/>
          <w:lang w:eastAsia="zh-CN"/>
        </w:rPr>
        <w:t>的职责是：客户质量投诉、三包索赔、外部退/换货接收处理；业务员外部质量处理支持、重大售后服务的组织与落实；协助业务员做好质量信息的处理回复；客户质量要求识别输入与管理；与公司</w:t>
      </w:r>
      <w:r>
        <w:rPr>
          <w:rFonts w:hint="eastAsia" w:ascii="宋体" w:hAnsi="宋体"/>
          <w:kern w:val="2"/>
          <w:sz w:val="24"/>
          <w:szCs w:val="24"/>
          <w:highlight w:val="none"/>
          <w:lang w:val="en-US" w:eastAsia="zh-CN"/>
        </w:rPr>
        <w:t>技质部</w:t>
      </w:r>
      <w:r>
        <w:rPr>
          <w:rFonts w:hint="eastAsia" w:ascii="宋体" w:hAnsi="宋体"/>
          <w:kern w:val="2"/>
          <w:sz w:val="24"/>
          <w:szCs w:val="24"/>
          <w:highlight w:val="none"/>
          <w:lang w:eastAsia="zh-CN"/>
        </w:rPr>
        <w:t>等职能部门接口做好售后服务工作；外部质量运行、客户质量满意度分析与组织改善等。最大限度减少顾客不满和业务流失。</w:t>
      </w:r>
    </w:p>
    <w:p>
      <w:pPr>
        <w:spacing w:line="300" w:lineRule="auto"/>
        <w:ind w:firstLine="440" w:firstLineChars="200"/>
        <w:jc w:val="center"/>
        <w:rPr>
          <w:rFonts w:cs="宋体" w:asciiTheme="majorEastAsia" w:hAnsiTheme="majorEastAsia" w:eastAsiaTheme="majorEastAsia"/>
          <w:sz w:val="24"/>
          <w:szCs w:val="24"/>
          <w:highlight w:val="none"/>
          <w:lang w:eastAsia="zh-CN"/>
        </w:rPr>
      </w:pPr>
      <w:r>
        <w:rPr>
          <w:rFonts w:hint="eastAsia"/>
          <w:highlight w:val="none"/>
          <w:lang w:eastAsia="zh-CN"/>
        </w:rPr>
        <w:drawing>
          <wp:inline distT="0" distB="0" distL="114300" distR="11430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2"/>
                    <a:stretch>
                      <a:fillRect/>
                    </a:stretch>
                  </pic:blipFill>
                  <pic:spPr>
                    <a:xfrm>
                      <a:off x="0" y="0"/>
                      <a:ext cx="4588510" cy="6385560"/>
                    </a:xfrm>
                    <a:prstGeom prst="rect">
                      <a:avLst/>
                    </a:prstGeom>
                    <a:noFill/>
                    <a:ln>
                      <a:noFill/>
                    </a:ln>
                  </pic:spPr>
                </pic:pic>
              </a:graphicData>
            </a:graphic>
          </wp:inline>
        </w:drawing>
      </w:r>
    </w:p>
    <w:p>
      <w:pPr>
        <w:pStyle w:val="4"/>
        <w:spacing w:after="120" w:afterLines="50"/>
        <w:jc w:val="center"/>
        <w:rPr>
          <w:rFonts w:ascii="宋体" w:hAnsi="宋体" w:eastAsia="宋体" w:cs="宋体"/>
          <w:b/>
          <w:kern w:val="0"/>
          <w:sz w:val="24"/>
          <w:szCs w:val="24"/>
          <w:highlight w:val="none"/>
        </w:rPr>
      </w:pPr>
      <w:bookmarkStart w:id="25" w:name="_Ref363386902"/>
      <w:r>
        <w:rPr>
          <w:rFonts w:hint="eastAsia" w:ascii="宋体" w:hAnsi="宋体" w:eastAsia="宋体"/>
          <w:b/>
          <w:sz w:val="24"/>
          <w:szCs w:val="24"/>
          <w:highlight w:val="none"/>
        </w:rPr>
        <w:t>图6.1投诉管理流程</w:t>
      </w:r>
      <w:bookmarkEnd w:id="25"/>
    </w:p>
    <w:p>
      <w:pPr>
        <w:pStyle w:val="36"/>
        <w:spacing w:line="360" w:lineRule="auto"/>
        <w:ind w:firstLine="480"/>
        <w:rPr>
          <w:rFonts w:ascii="宋体" w:hAnsi="宋体"/>
          <w:color w:val="auto"/>
          <w:highlight w:val="none"/>
        </w:rPr>
      </w:pPr>
      <w:r>
        <w:rPr>
          <w:rFonts w:hint="eastAsia" w:ascii="宋体" w:hAnsi="宋体"/>
          <w:color w:val="auto"/>
          <w:highlight w:val="none"/>
          <w:lang w:eastAsia="zh-CN"/>
        </w:rPr>
        <w:t>供销部</w:t>
      </w:r>
      <w:r>
        <w:rPr>
          <w:rFonts w:ascii="宋体" w:hAnsi="宋体"/>
          <w:color w:val="auto"/>
          <w:highlight w:val="none"/>
        </w:rPr>
        <w:t>负责接收、收集顾客的抱怨/投诉，将顾客的意见记录，通过</w:t>
      </w:r>
      <w:r>
        <w:rPr>
          <w:rFonts w:hint="eastAsia" w:ascii="宋体" w:hAnsi="宋体"/>
          <w:color w:val="auto"/>
          <w:highlight w:val="none"/>
        </w:rPr>
        <w:t>客诉处理记录或顾客专用格式，</w:t>
      </w:r>
      <w:r>
        <w:rPr>
          <w:rFonts w:ascii="宋体" w:hAnsi="宋体"/>
          <w:color w:val="auto"/>
          <w:highlight w:val="none"/>
        </w:rPr>
        <w:t>将相关信息传递到</w:t>
      </w:r>
      <w:r>
        <w:rPr>
          <w:rFonts w:hint="eastAsia" w:ascii="宋体" w:hAnsi="宋体"/>
          <w:color w:val="auto"/>
          <w:highlight w:val="none"/>
          <w:lang w:val="en-US" w:eastAsia="zh-CN"/>
        </w:rPr>
        <w:t>技质部</w:t>
      </w:r>
      <w:r>
        <w:rPr>
          <w:rFonts w:ascii="宋体" w:hAnsi="宋体"/>
          <w:color w:val="auto"/>
          <w:highlight w:val="none"/>
        </w:rPr>
        <w:t>，</w:t>
      </w:r>
      <w:r>
        <w:rPr>
          <w:rFonts w:hint="eastAsia" w:ascii="宋体" w:hAnsi="宋体"/>
          <w:color w:val="auto"/>
          <w:highlight w:val="none"/>
          <w:lang w:val="en-US" w:eastAsia="zh-CN"/>
        </w:rPr>
        <w:t>技质部</w:t>
      </w:r>
      <w:r>
        <w:rPr>
          <w:rFonts w:hint="eastAsia" w:ascii="宋体" w:hAnsi="宋体"/>
          <w:color w:val="auto"/>
          <w:highlight w:val="none"/>
        </w:rPr>
        <w:t>接到顾客投诉反馈信息后，立即组织相关人员对可疑产品进行区分隔离：</w:t>
      </w: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区分隔离的可疑产品包括在制品，成品仓库，发运的在途品，外库存，涉及到外协件和原材料的应包含原材料库和相应的分供方；</w:t>
      </w: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lang w:val="en-US" w:eastAsia="zh-CN"/>
        </w:rPr>
        <w:t>技质部</w:t>
      </w:r>
      <w:r>
        <w:rPr>
          <w:rFonts w:hint="eastAsia" w:ascii="宋体" w:hAnsi="宋体"/>
          <w:color w:val="auto"/>
          <w:highlight w:val="none"/>
        </w:rPr>
        <w:t>组织相关人员根据异常情况，确定临时措施，对可疑不合格品进行检查、返工、返修或者报废处理；必要时，填写《客诉处理报告单》；</w:t>
      </w:r>
      <w:r>
        <w:rPr>
          <w:rFonts w:ascii="宋体" w:hAnsi="宋体"/>
          <w:color w:val="auto"/>
          <w:highlight w:val="none"/>
        </w:rPr>
        <w:fldChar w:fldCharType="begin"/>
      </w:r>
      <w:r>
        <w:rPr>
          <w:rFonts w:hint="eastAsia" w:ascii="宋体" w:hAnsi="宋体"/>
          <w:color w:val="auto"/>
          <w:highlight w:val="none"/>
        </w:rPr>
        <w:instrText xml:space="preserve">= 3 \* GB3</w:instrText>
      </w:r>
      <w:r>
        <w:rPr>
          <w:rFonts w:ascii="宋体" w:hAnsi="宋体"/>
          <w:color w:val="auto"/>
          <w:highlight w:val="none"/>
        </w:rPr>
        <w:fldChar w:fldCharType="separate"/>
      </w:r>
      <w:r>
        <w:rPr>
          <w:rFonts w:hint="eastAsia" w:ascii="宋体" w:hAnsi="宋体"/>
          <w:color w:val="auto"/>
          <w:highlight w:val="none"/>
        </w:rPr>
        <w:t>③</w:t>
      </w:r>
      <w:r>
        <w:rPr>
          <w:rFonts w:ascii="宋体" w:hAnsi="宋体"/>
          <w:color w:val="auto"/>
          <w:highlight w:val="none"/>
        </w:rPr>
        <w:fldChar w:fldCharType="end"/>
      </w:r>
      <w:r>
        <w:rPr>
          <w:rFonts w:hint="eastAsia" w:ascii="宋体" w:hAnsi="宋体"/>
          <w:color w:val="auto"/>
          <w:highlight w:val="none"/>
        </w:rPr>
        <w:t>在24小时之内把相关信息返回到顾客。</w:t>
      </w:r>
    </w:p>
    <w:p>
      <w:pPr>
        <w:pStyle w:val="36"/>
        <w:spacing w:line="360" w:lineRule="auto"/>
        <w:ind w:firstLine="480"/>
        <w:rPr>
          <w:rFonts w:ascii="宋体" w:hAnsi="宋体"/>
          <w:color w:val="auto"/>
          <w:highlight w:val="none"/>
        </w:rPr>
      </w:pPr>
      <w:r>
        <w:rPr>
          <w:rFonts w:ascii="宋体" w:hAnsi="宋体"/>
          <w:color w:val="auto"/>
          <w:highlight w:val="none"/>
        </w:rPr>
        <w:t>若分析确认的结果是本公司的制造质量问题，</w:t>
      </w:r>
      <w:r>
        <w:rPr>
          <w:rFonts w:hint="eastAsia" w:ascii="宋体" w:hAnsi="宋体"/>
          <w:color w:val="auto"/>
          <w:highlight w:val="none"/>
          <w:lang w:val="en-US" w:eastAsia="zh-CN"/>
        </w:rPr>
        <w:t>技质部</w:t>
      </w:r>
      <w:r>
        <w:rPr>
          <w:rFonts w:ascii="宋体" w:hAnsi="宋体"/>
          <w:color w:val="auto"/>
          <w:highlight w:val="none"/>
        </w:rPr>
        <w:t>组织相关人员分析原因，以确定根本原因，提出纠正和预防措施并组织实施，适当采用与风险相适应的防错技术</w:t>
      </w:r>
      <w:r>
        <w:rPr>
          <w:rFonts w:hint="eastAsia" w:ascii="宋体" w:hAnsi="宋体"/>
          <w:color w:val="auto"/>
          <w:highlight w:val="none"/>
        </w:rPr>
        <w:t>。</w:t>
      </w:r>
      <w:r>
        <w:rPr>
          <w:rFonts w:hint="eastAsia" w:ascii="宋体" w:hAnsi="宋体"/>
          <w:color w:val="auto"/>
          <w:highlight w:val="none"/>
          <w:lang w:val="en-US" w:eastAsia="zh-CN"/>
        </w:rPr>
        <w:t>技质部</w:t>
      </w:r>
      <w:r>
        <w:rPr>
          <w:rFonts w:ascii="宋体" w:hAnsi="宋体"/>
          <w:color w:val="auto"/>
          <w:highlight w:val="none"/>
        </w:rPr>
        <w:t>评价纠正和预防措施的有效性，防止问题的再次发生。</w:t>
      </w:r>
    </w:p>
    <w:p>
      <w:pPr>
        <w:pStyle w:val="36"/>
        <w:spacing w:line="360" w:lineRule="auto"/>
        <w:ind w:firstLine="480"/>
        <w:rPr>
          <w:rFonts w:ascii="宋体" w:hAnsi="宋体"/>
          <w:color w:val="auto"/>
          <w:highlight w:val="none"/>
        </w:rPr>
      </w:pPr>
      <w:r>
        <w:rPr>
          <w:rFonts w:hint="eastAsia" w:ascii="宋体" w:hAnsi="宋体"/>
          <w:color w:val="auto"/>
          <w:highlight w:val="none"/>
        </w:rPr>
        <w:t>投诉信息的</w:t>
      </w:r>
      <w:r>
        <w:rPr>
          <w:rFonts w:hint="eastAsia" w:ascii="宋体" w:hAnsi="宋体"/>
          <w:color w:val="000000" w:themeColor="text1"/>
          <w:highlight w:val="none"/>
          <w14:textFill>
            <w14:solidFill>
              <w14:schemeClr w14:val="tx1"/>
            </w14:solidFill>
          </w14:textFill>
        </w:rPr>
        <w:t>积累、分析。售后服务</w:t>
      </w:r>
      <w:r>
        <w:rPr>
          <w:rFonts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技质部</w:t>
      </w:r>
      <w:r>
        <w:rPr>
          <w:rFonts w:ascii="宋体" w:hAnsi="宋体"/>
          <w:color w:val="000000" w:themeColor="text1"/>
          <w:highlight w:val="none"/>
          <w14:textFill>
            <w14:solidFill>
              <w14:schemeClr w14:val="tx1"/>
            </w14:solidFill>
          </w14:textFill>
        </w:rPr>
        <w:t>负责定期对顾客投诉情况进行统计</w:t>
      </w:r>
      <w:r>
        <w:rPr>
          <w:rFonts w:hint="eastAsia"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技质部</w:t>
      </w:r>
      <w:r>
        <w:rPr>
          <w:rFonts w:hint="eastAsia" w:ascii="宋体" w:hAnsi="宋体"/>
          <w:color w:val="000000" w:themeColor="text1"/>
          <w:highlight w:val="none"/>
          <w14:textFill>
            <w14:solidFill>
              <w14:schemeClr w14:val="tx1"/>
            </w14:solidFill>
          </w14:textFill>
        </w:rPr>
        <w:t>负责对顾客反馈回的《质量信息反馈单》等单据和产品退回的情报展开分析，制订解决的措施，跟踪解决措施的有效性直至问</w:t>
      </w:r>
      <w:r>
        <w:rPr>
          <w:rFonts w:hint="eastAsia" w:ascii="宋体" w:hAnsi="宋体"/>
          <w:color w:val="auto"/>
          <w:highlight w:val="none"/>
        </w:rPr>
        <w:t>题关闭。</w:t>
      </w:r>
    </w:p>
    <w:p>
      <w:pPr>
        <w:pStyle w:val="36"/>
        <w:spacing w:before="240" w:beforeLines="100" w:line="360" w:lineRule="auto"/>
        <w:ind w:firstLine="0" w:firstLineChars="0"/>
        <w:rPr>
          <w:rFonts w:asciiTheme="majorEastAsia" w:hAnsiTheme="majorEastAsia" w:eastAsiaTheme="majorEastAsia" w:cstheme="majorEastAsia"/>
          <w:b/>
          <w:bCs/>
          <w:kern w:val="0"/>
          <w:szCs w:val="26"/>
          <w:highlight w:val="none"/>
        </w:rPr>
      </w:pPr>
      <w:r>
        <w:rPr>
          <w:rFonts w:hint="eastAsia" w:asciiTheme="majorEastAsia" w:hAnsiTheme="majorEastAsia" w:eastAsiaTheme="majorEastAsia" w:cstheme="majorEastAsia"/>
          <w:b/>
          <w:bCs/>
          <w:kern w:val="0"/>
          <w:szCs w:val="26"/>
          <w:highlight w:val="none"/>
        </w:rPr>
        <w:t>6.2产品质量承诺</w:t>
      </w:r>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6" w:name="_Toc7146_WPSOffice_Level2"/>
      <w:r>
        <w:rPr>
          <w:rFonts w:hint="eastAsia" w:asciiTheme="majorEastAsia" w:hAnsiTheme="majorEastAsia" w:eastAsiaTheme="majorEastAsia" w:cstheme="majorEastAsia"/>
          <w:b/>
          <w:bCs/>
          <w:sz w:val="24"/>
          <w:szCs w:val="26"/>
          <w:highlight w:val="none"/>
          <w:lang w:eastAsia="zh-CN"/>
        </w:rPr>
        <w:t>依法依规做精品</w:t>
      </w:r>
      <w:bookmarkEnd w:id="26"/>
    </w:p>
    <w:p>
      <w:pPr>
        <w:widowControl/>
        <w:spacing w:line="360" w:lineRule="auto"/>
        <w:ind w:firstLine="480" w:firstLineChars="200"/>
        <w:rPr>
          <w:rFonts w:ascii="宋体" w:hAnsi="宋体"/>
          <w:bCs/>
          <w:color w:val="auto"/>
          <w:sz w:val="24"/>
          <w:szCs w:val="24"/>
          <w:highlight w:val="none"/>
          <w:lang w:eastAsia="zh-CN"/>
        </w:rPr>
      </w:pPr>
      <w:r>
        <w:rPr>
          <w:rFonts w:hint="eastAsia" w:ascii="宋体" w:hAnsi="宋体"/>
          <w:bCs/>
          <w:sz w:val="24"/>
          <w:szCs w:val="24"/>
          <w:highlight w:val="none"/>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w:t>
      </w:r>
      <w:r>
        <w:rPr>
          <w:rFonts w:hint="eastAsia" w:ascii="宋体" w:hAnsi="宋体"/>
          <w:bCs/>
          <w:color w:val="auto"/>
          <w:sz w:val="24"/>
          <w:szCs w:val="24"/>
          <w:highlight w:val="none"/>
          <w:lang w:eastAsia="zh-CN"/>
        </w:rPr>
        <w:t>费者对高质量产品的期待和要求。</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7" w:name="_Toc12788_WPSOffice_Level2"/>
      <w:r>
        <w:rPr>
          <w:rFonts w:hint="eastAsia" w:asciiTheme="majorEastAsia" w:hAnsiTheme="majorEastAsia" w:eastAsiaTheme="majorEastAsia" w:cstheme="majorEastAsia"/>
          <w:b/>
          <w:bCs/>
          <w:sz w:val="24"/>
          <w:szCs w:val="26"/>
          <w:highlight w:val="none"/>
          <w:lang w:eastAsia="zh-CN"/>
        </w:rPr>
        <w:t>快速响应做服务</w:t>
      </w:r>
      <w:bookmarkEnd w:id="27"/>
    </w:p>
    <w:p>
      <w:pPr>
        <w:widowControl/>
        <w:spacing w:line="360" w:lineRule="auto"/>
        <w:ind w:firstLine="480" w:firstLineChars="200"/>
        <w:rPr>
          <w:rFonts w:ascii="宋体" w:hAnsi="宋体"/>
          <w:kern w:val="2"/>
          <w:sz w:val="24"/>
          <w:szCs w:val="24"/>
          <w:highlight w:val="none"/>
          <w:lang w:eastAsia="zh-CN"/>
        </w:rPr>
      </w:pPr>
      <w:r>
        <w:rPr>
          <w:rFonts w:hint="eastAsia" w:ascii="宋体" w:hAnsi="宋体"/>
          <w:bCs/>
          <w:sz w:val="24"/>
          <w:szCs w:val="24"/>
          <w:highlight w:val="none"/>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highlight w:val="none"/>
          <w:lang w:eastAsia="zh-CN"/>
          <w14:textFill>
            <w14:solidFill>
              <w14:schemeClr w14:val="tx1"/>
            </w14:solidFill>
          </w14:textFill>
        </w:rPr>
        <w:t>对于顾客</w:t>
      </w:r>
      <w:r>
        <w:rPr>
          <w:rFonts w:hint="eastAsia" w:ascii="宋体" w:hAnsi="宋体"/>
          <w:kern w:val="2"/>
          <w:sz w:val="24"/>
          <w:szCs w:val="24"/>
          <w:highlight w:val="none"/>
          <w:lang w:eastAsia="zh-CN"/>
        </w:rPr>
        <w:t>的投诉:</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highlight w:val="none"/>
          <w:lang w:eastAsia="zh-CN"/>
        </w:rPr>
      </w:pPr>
      <w:r>
        <w:rPr>
          <w:rFonts w:hint="eastAsia" w:ascii="宋体" w:hAnsi="宋体"/>
          <w:kern w:val="2"/>
          <w:sz w:val="24"/>
          <w:szCs w:val="24"/>
          <w:highlight w:val="none"/>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迈向目标零缺陷</w:t>
      </w:r>
      <w:bookmarkEnd w:id="28"/>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highlight w:val="none"/>
          <w:lang w:eastAsia="zh-CN"/>
        </w:rPr>
      </w:pPr>
      <w:bookmarkStart w:id="29" w:name="_Toc15061_WPSOffice_Level1"/>
      <w:bookmarkStart w:id="30" w:name="_Toc24912745"/>
      <w:r>
        <w:rPr>
          <w:rFonts w:hint="eastAsia"/>
          <w:highlight w:val="none"/>
          <w:lang w:eastAsia="zh-CN"/>
        </w:rPr>
        <w:br w:type="page"/>
      </w:r>
    </w:p>
    <w:p>
      <w:pPr>
        <w:pStyle w:val="29"/>
        <w:tabs>
          <w:tab w:val="left" w:pos="804"/>
        </w:tabs>
        <w:spacing w:before="360" w:beforeLines="150" w:line="419" w:lineRule="exact"/>
        <w:ind w:right="198"/>
        <w:jc w:val="center"/>
        <w:rPr>
          <w:highlight w:val="none"/>
          <w:lang w:eastAsia="zh-CN"/>
        </w:rPr>
      </w:pPr>
      <w:r>
        <w:rPr>
          <w:rFonts w:hint="eastAsia"/>
          <w:highlight w:val="none"/>
          <w:lang w:eastAsia="zh-CN"/>
        </w:rPr>
        <w:t>第三部分  结</w:t>
      </w:r>
      <w:r>
        <w:rPr>
          <w:highlight w:val="none"/>
          <w:lang w:eastAsia="zh-CN"/>
        </w:rPr>
        <w:tab/>
      </w:r>
      <w:r>
        <w:rPr>
          <w:rFonts w:hint="eastAsia"/>
          <w:highlight w:val="none"/>
          <w:lang w:eastAsia="zh-CN"/>
        </w:rPr>
        <w:t>语</w:t>
      </w:r>
      <w:bookmarkEnd w:id="29"/>
      <w:bookmarkEnd w:id="30"/>
    </w:p>
    <w:p>
      <w:pPr>
        <w:spacing w:before="7" w:line="100" w:lineRule="exact"/>
        <w:rPr>
          <w:sz w:val="10"/>
          <w:szCs w:val="10"/>
          <w:highlight w:val="none"/>
          <w:lang w:eastAsia="zh-CN"/>
        </w:rPr>
      </w:pPr>
    </w:p>
    <w:p>
      <w:pPr>
        <w:spacing w:line="200" w:lineRule="exact"/>
        <w:rPr>
          <w:sz w:val="20"/>
          <w:szCs w:val="20"/>
          <w:highlight w:val="none"/>
          <w:lang w:eastAsia="zh-CN"/>
        </w:rPr>
      </w:pPr>
    </w:p>
    <w:p>
      <w:pPr>
        <w:spacing w:line="200" w:lineRule="exact"/>
        <w:rPr>
          <w:sz w:val="20"/>
          <w:szCs w:val="20"/>
          <w:highlight w:val="none"/>
          <w:lang w:eastAsia="zh-CN"/>
        </w:rPr>
      </w:pPr>
    </w:p>
    <w:p>
      <w:pPr>
        <w:pStyle w:val="5"/>
        <w:spacing w:before="37" w:line="360" w:lineRule="auto"/>
        <w:ind w:right="493" w:firstLine="522"/>
        <w:jc w:val="both"/>
        <w:rPr>
          <w:color w:val="000000" w:themeColor="text1"/>
          <w:w w:val="95"/>
          <w:highlight w:val="none"/>
          <w:lang w:eastAsia="zh-CN"/>
          <w14:textFill>
            <w14:solidFill>
              <w14:schemeClr w14:val="tx1"/>
            </w14:solidFill>
          </w14:textFill>
        </w:rPr>
      </w:pPr>
      <w:r>
        <w:rPr>
          <w:rFonts w:hint="eastAsia" w:cs="宋体"/>
          <w:color w:val="000000"/>
          <w:sz w:val="24"/>
          <w:szCs w:val="24"/>
          <w:highlight w:val="none"/>
          <w:lang w:eastAsia="zh-CN"/>
        </w:rPr>
        <w:t>自公司成立以来，公司严格遵守《公司法》《劳动法》《劳动合同法》《产品质量法》和《消费者权益保护法》等法律法规，自觉履行公司章程及公司制度，坚持“</w:t>
      </w:r>
      <w:r>
        <w:rPr>
          <w:rFonts w:hint="eastAsia" w:cs="Arial" w:asciiTheme="minorEastAsia" w:hAnsiTheme="minorEastAsia" w:eastAsiaTheme="minorEastAsia"/>
          <w:b w:val="0"/>
          <w:bCs w:val="0"/>
          <w:color w:val="auto"/>
          <w:sz w:val="24"/>
          <w:szCs w:val="24"/>
          <w:lang w:val="en-US" w:eastAsia="zh-CN"/>
        </w:rPr>
        <w:t>以您为中心，以我为半径，让您最满意</w:t>
      </w:r>
      <w:r>
        <w:rPr>
          <w:rFonts w:hint="eastAsia" w:cs="宋体"/>
          <w:color w:val="000000"/>
          <w:sz w:val="24"/>
          <w:szCs w:val="24"/>
          <w:highlight w:val="none"/>
          <w:lang w:eastAsia="zh-CN"/>
        </w:rPr>
        <w:t>”的理念，保障员工的合法权益，恪守产品质量，“</w:t>
      </w:r>
      <w:r>
        <w:rPr>
          <w:rFonts w:hint="eastAsia" w:cs="宋体"/>
          <w:color w:val="000000"/>
          <w:sz w:val="24"/>
          <w:szCs w:val="24"/>
          <w:highlight w:val="none"/>
          <w:lang w:val="en-US" w:eastAsia="zh-CN"/>
        </w:rPr>
        <w:t>标准是底线，我们要做得更好</w:t>
      </w:r>
      <w:r>
        <w:rPr>
          <w:rFonts w:hint="eastAsia" w:cs="宋体"/>
          <w:color w:val="000000"/>
          <w:sz w:val="24"/>
          <w:szCs w:val="24"/>
          <w:highlight w:val="none"/>
          <w:lang w:eastAsia="zh-CN"/>
        </w:rPr>
        <w:t>”的质量宣言，“</w:t>
      </w:r>
      <w:r>
        <w:rPr>
          <w:rFonts w:hint="eastAsia" w:ascii="宋体" w:hAnsi="宋体" w:eastAsia="宋体" w:cs="宋体"/>
          <w:sz w:val="24"/>
          <w:highlight w:val="none"/>
          <w:lang w:eastAsia="zh-CN"/>
        </w:rPr>
        <w:t>恒久发展，诚信社会</w:t>
      </w:r>
      <w:r>
        <w:rPr>
          <w:rFonts w:hint="eastAsia" w:cs="宋体"/>
          <w:color w:val="000000"/>
          <w:sz w:val="24"/>
          <w:szCs w:val="24"/>
          <w:highlight w:val="none"/>
          <w:lang w:eastAsia="zh-CN"/>
        </w:rPr>
        <w:t>”管理理念，创新品牌，共同努力打造我们自己的名牌产品。学习世界级先进企业的管理模式，优化内部管理流程、整合管理方法，为实现“浙江制造”国内领先、国际一流的目标持续努力。</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质量是每一个成功企业的永恒追求。随着行业的不断发展和消费者消费观念的成熟，对产品的质量要求将会不断提高。作为一个负责任的企业，迪科在质量诚信体系建设上的脚步将永不停歇。我们将以浙江制造“品字标”认证为契机，认真夯实质量管理基础，推动企业的发展，持续完善管理体系，提升质量管理水平，以公司战略及“</w:t>
      </w:r>
      <w:r>
        <w:rPr>
          <w:rFonts w:hint="eastAsia"/>
          <w:b w:val="0"/>
          <w:bCs/>
          <w:sz w:val="24"/>
          <w:szCs w:val="24"/>
          <w:lang w:val="en-US" w:eastAsia="zh-CN"/>
        </w:rPr>
        <w:t>客户至上，质量为本，全员参与，持续改进意</w:t>
      </w:r>
      <w:r>
        <w:rPr>
          <w:rFonts w:hint="eastAsia" w:cs="宋体"/>
          <w:color w:val="000000"/>
          <w:sz w:val="24"/>
          <w:szCs w:val="24"/>
          <w:highlight w:val="none"/>
          <w:lang w:eastAsia="zh-CN"/>
        </w:rPr>
        <w:t>”的质量方针为指引，努力夯实质量诚信基础，持续提升产质量竞争力，并向着“零缺陷”的目标不断迈进，为客户提供极具体验感的优质产品和优良服务！</w:t>
      </w: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left="5709" w:leftChars="458" w:right="493" w:hanging="4701" w:hangingChars="1959"/>
        <w:jc w:val="both"/>
        <w:rPr>
          <w:rFonts w:cs="宋体"/>
          <w:color w:val="000000"/>
          <w:sz w:val="24"/>
          <w:szCs w:val="24"/>
          <w:highlight w:val="none"/>
          <w:lang w:eastAsia="zh-CN"/>
        </w:rPr>
      </w:pPr>
      <w:r>
        <w:rPr>
          <w:rFonts w:hint="eastAsia" w:cs="宋体"/>
          <w:color w:val="000000"/>
          <w:sz w:val="24"/>
          <w:szCs w:val="24"/>
          <w:highlight w:val="none"/>
          <w:lang w:eastAsia="zh-CN"/>
        </w:rPr>
        <w:t xml:space="preserve">                                                                                                                   温州迪科阀门科技有限公司                                                  </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 xml:space="preserve">                                              202</w:t>
      </w:r>
      <w:r>
        <w:rPr>
          <w:rFonts w:hint="eastAsia" w:cs="宋体"/>
          <w:color w:val="000000"/>
          <w:sz w:val="24"/>
          <w:szCs w:val="24"/>
          <w:highlight w:val="none"/>
          <w:lang w:val="en-US" w:eastAsia="zh-CN"/>
        </w:rPr>
        <w:t>2</w:t>
      </w:r>
      <w:r>
        <w:rPr>
          <w:rFonts w:hint="eastAsia" w:cs="宋体"/>
          <w:color w:val="000000"/>
          <w:sz w:val="24"/>
          <w:szCs w:val="24"/>
          <w:highlight w:val="none"/>
          <w:lang w:eastAsia="zh-CN"/>
        </w:rPr>
        <w:t>年</w:t>
      </w:r>
      <w:r>
        <w:rPr>
          <w:rFonts w:hint="eastAsia" w:cs="宋体"/>
          <w:color w:val="000000"/>
          <w:sz w:val="24"/>
          <w:szCs w:val="24"/>
          <w:highlight w:val="none"/>
          <w:lang w:val="en-US" w:eastAsia="zh-CN"/>
        </w:rPr>
        <w:t>2</w:t>
      </w:r>
      <w:bookmarkStart w:id="31" w:name="_GoBack"/>
      <w:bookmarkEnd w:id="31"/>
      <w:r>
        <w:rPr>
          <w:rFonts w:hint="eastAsia" w:cs="宋体"/>
          <w:color w:val="000000"/>
          <w:sz w:val="24"/>
          <w:szCs w:val="24"/>
          <w:highlight w:val="none"/>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beEs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5&#10;n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9xt4SyQEAAJoDAAAOAAAAAAAAAAEAIAAAAB4BAABkcnMvZTJvRG9j&#10;LnhtbFBLBQYAAAAABgAGAFkBAABZ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140970" cy="1397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60288;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mOrK3XAAAACQEAAA8AAAAAAAAAAQAgAAAAIgAAAGRycy9kb3ducmV2LnhtbFBLAQIUABQA&#10;AAAIAIdO4kBAnruWuAEAAHEDAAAOAAAAAAAAAAEAIAAAACYBAABkcnMvZTJvRG9jLnhtbFBLBQYA&#10;AAAABgAGAFkBAABQBQ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1312"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11"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10"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5168;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RyUa32QAAAAoBAAAPAAAAAAAAAAEAIAAAACIAAABkcnMvZG93bnJldi54bWxQSwECFAAUAAAA&#10;CACHTuJASwfQuZgCAAC1BQAADgAAAAAAAAABACAAAAAoAQAAZHJzL2Uyb0RvYy54bWxQSwUGAAAA&#10;AAYABgBZAQAAMgYAAAAA&#10;">
              <o:lock v:ext="edit" aspectratio="f"/>
              <v:shape id="任意多边形 2" o:spid="_x0000_s1026" o:spt="100" style="position:absolute;left:1416;top:-308;height:2;width:9273;" filled="f" stroked="t" coordsize="9273,1" o:gfxdata="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zlCL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DB2D"/>
    <w:multiLevelType w:val="singleLevel"/>
    <w:tmpl w:val="B906DB2D"/>
    <w:lvl w:ilvl="0" w:tentative="0">
      <w:start w:val="1"/>
      <w:numFmt w:val="chineseCounting"/>
      <w:suff w:val="space"/>
      <w:lvlText w:val="第%1部分"/>
      <w:lvlJc w:val="left"/>
      <w:rPr>
        <w:rFonts w:hint="eastAsia"/>
      </w:rPr>
    </w:lvl>
  </w:abstractNum>
  <w:abstractNum w:abstractNumId="1">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3">
    <w:nsid w:val="60D70BCA"/>
    <w:multiLevelType w:val="singleLevel"/>
    <w:tmpl w:val="60D70BCA"/>
    <w:lvl w:ilvl="0" w:tentative="0">
      <w:start w:val="1"/>
      <w:numFmt w:val="decimal"/>
      <w:suff w:val="nothing"/>
      <w:lvlText w:val="（%1）"/>
      <w:lvlJc w:val="left"/>
    </w:lvl>
  </w:abstractNum>
  <w:abstractNum w:abstractNumId="4">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853CB"/>
    <w:rsid w:val="00091CB7"/>
    <w:rsid w:val="00095100"/>
    <w:rsid w:val="000A2940"/>
    <w:rsid w:val="000A5C4E"/>
    <w:rsid w:val="000A6C51"/>
    <w:rsid w:val="000B14EE"/>
    <w:rsid w:val="000B2550"/>
    <w:rsid w:val="000B4C34"/>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0E03"/>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0145"/>
    <w:rsid w:val="0020393D"/>
    <w:rsid w:val="00207E25"/>
    <w:rsid w:val="00212704"/>
    <w:rsid w:val="0022363A"/>
    <w:rsid w:val="00233432"/>
    <w:rsid w:val="00236E6A"/>
    <w:rsid w:val="002407BE"/>
    <w:rsid w:val="00247B46"/>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523"/>
    <w:rsid w:val="0040485E"/>
    <w:rsid w:val="00406EAC"/>
    <w:rsid w:val="00415440"/>
    <w:rsid w:val="00420713"/>
    <w:rsid w:val="0042073D"/>
    <w:rsid w:val="00420D14"/>
    <w:rsid w:val="00421034"/>
    <w:rsid w:val="00435EC7"/>
    <w:rsid w:val="00445439"/>
    <w:rsid w:val="00446193"/>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C50DB"/>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64E0B"/>
    <w:rsid w:val="00671377"/>
    <w:rsid w:val="006814C9"/>
    <w:rsid w:val="0068222D"/>
    <w:rsid w:val="0068288D"/>
    <w:rsid w:val="006859FF"/>
    <w:rsid w:val="00687A7A"/>
    <w:rsid w:val="00687ECC"/>
    <w:rsid w:val="006924F4"/>
    <w:rsid w:val="00693B3B"/>
    <w:rsid w:val="00694184"/>
    <w:rsid w:val="00694CED"/>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47F81"/>
    <w:rsid w:val="00954A99"/>
    <w:rsid w:val="00956E77"/>
    <w:rsid w:val="0097239A"/>
    <w:rsid w:val="009769EF"/>
    <w:rsid w:val="0098657C"/>
    <w:rsid w:val="00994B52"/>
    <w:rsid w:val="009A6AD5"/>
    <w:rsid w:val="009B3135"/>
    <w:rsid w:val="009C2F39"/>
    <w:rsid w:val="009C3D16"/>
    <w:rsid w:val="009D5B4A"/>
    <w:rsid w:val="009D628E"/>
    <w:rsid w:val="009E63B7"/>
    <w:rsid w:val="00A00B30"/>
    <w:rsid w:val="00A12016"/>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46F34"/>
    <w:rsid w:val="00B624CB"/>
    <w:rsid w:val="00B6521A"/>
    <w:rsid w:val="00B65DB8"/>
    <w:rsid w:val="00B673EC"/>
    <w:rsid w:val="00B855DE"/>
    <w:rsid w:val="00B90EA9"/>
    <w:rsid w:val="00BA662B"/>
    <w:rsid w:val="00BC03CE"/>
    <w:rsid w:val="00BC1C78"/>
    <w:rsid w:val="00BC3FC1"/>
    <w:rsid w:val="00BC5D93"/>
    <w:rsid w:val="00BD09D8"/>
    <w:rsid w:val="00BD43CD"/>
    <w:rsid w:val="00BD44FC"/>
    <w:rsid w:val="00BD6671"/>
    <w:rsid w:val="00BE2292"/>
    <w:rsid w:val="00BE3EC3"/>
    <w:rsid w:val="00BE41E4"/>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468ED"/>
    <w:rsid w:val="00E52688"/>
    <w:rsid w:val="00E54197"/>
    <w:rsid w:val="00E61AAC"/>
    <w:rsid w:val="00E62449"/>
    <w:rsid w:val="00E73247"/>
    <w:rsid w:val="00E81DA0"/>
    <w:rsid w:val="00E86769"/>
    <w:rsid w:val="00E902A4"/>
    <w:rsid w:val="00E917D3"/>
    <w:rsid w:val="00EA00A7"/>
    <w:rsid w:val="00EA29D6"/>
    <w:rsid w:val="00EA3260"/>
    <w:rsid w:val="00EA6969"/>
    <w:rsid w:val="00EB3ED3"/>
    <w:rsid w:val="00EC36E8"/>
    <w:rsid w:val="00EC52FA"/>
    <w:rsid w:val="00ED1CEE"/>
    <w:rsid w:val="00ED6534"/>
    <w:rsid w:val="00EE50FD"/>
    <w:rsid w:val="00EF34D8"/>
    <w:rsid w:val="00EF74B1"/>
    <w:rsid w:val="00F30D9E"/>
    <w:rsid w:val="00F502C1"/>
    <w:rsid w:val="00F539CB"/>
    <w:rsid w:val="00F5526D"/>
    <w:rsid w:val="00F658FE"/>
    <w:rsid w:val="00F6742C"/>
    <w:rsid w:val="00F70820"/>
    <w:rsid w:val="00F9012E"/>
    <w:rsid w:val="00F91595"/>
    <w:rsid w:val="00F9444A"/>
    <w:rsid w:val="00F9494A"/>
    <w:rsid w:val="00F973C8"/>
    <w:rsid w:val="00FA047F"/>
    <w:rsid w:val="00FB72A2"/>
    <w:rsid w:val="00FC1180"/>
    <w:rsid w:val="00FD1729"/>
    <w:rsid w:val="00FE3827"/>
    <w:rsid w:val="00FF0332"/>
    <w:rsid w:val="00FF090D"/>
    <w:rsid w:val="01795198"/>
    <w:rsid w:val="018F338B"/>
    <w:rsid w:val="01BE6913"/>
    <w:rsid w:val="01CC67BD"/>
    <w:rsid w:val="02C46BE6"/>
    <w:rsid w:val="03804D7B"/>
    <w:rsid w:val="03CE0E34"/>
    <w:rsid w:val="04F30B42"/>
    <w:rsid w:val="051107AA"/>
    <w:rsid w:val="055D1C44"/>
    <w:rsid w:val="056A55DF"/>
    <w:rsid w:val="059A2FC0"/>
    <w:rsid w:val="06046320"/>
    <w:rsid w:val="06EC0F50"/>
    <w:rsid w:val="077E37CF"/>
    <w:rsid w:val="07DB0076"/>
    <w:rsid w:val="08BD4108"/>
    <w:rsid w:val="09483CBE"/>
    <w:rsid w:val="0976271F"/>
    <w:rsid w:val="0993567F"/>
    <w:rsid w:val="09E95187"/>
    <w:rsid w:val="0A0B6B4A"/>
    <w:rsid w:val="0A411BD2"/>
    <w:rsid w:val="0B4B06CB"/>
    <w:rsid w:val="0B9559D8"/>
    <w:rsid w:val="0C1E5D53"/>
    <w:rsid w:val="0CD35479"/>
    <w:rsid w:val="0D540712"/>
    <w:rsid w:val="0D5B2460"/>
    <w:rsid w:val="101C1DE4"/>
    <w:rsid w:val="11546747"/>
    <w:rsid w:val="12130805"/>
    <w:rsid w:val="12ED66D1"/>
    <w:rsid w:val="13462B2C"/>
    <w:rsid w:val="136A03D0"/>
    <w:rsid w:val="14285D70"/>
    <w:rsid w:val="167F4E7B"/>
    <w:rsid w:val="16960E39"/>
    <w:rsid w:val="16C15B42"/>
    <w:rsid w:val="17636833"/>
    <w:rsid w:val="178B0F18"/>
    <w:rsid w:val="18D13D99"/>
    <w:rsid w:val="192B49E4"/>
    <w:rsid w:val="19A0447A"/>
    <w:rsid w:val="19B9019D"/>
    <w:rsid w:val="1A3C3CFA"/>
    <w:rsid w:val="1A800930"/>
    <w:rsid w:val="1AA63211"/>
    <w:rsid w:val="1AD71A6B"/>
    <w:rsid w:val="1BBF5944"/>
    <w:rsid w:val="1CD77269"/>
    <w:rsid w:val="1D407904"/>
    <w:rsid w:val="1DBE25C1"/>
    <w:rsid w:val="1F6006B3"/>
    <w:rsid w:val="1F622FD1"/>
    <w:rsid w:val="1F68187C"/>
    <w:rsid w:val="1FC860A9"/>
    <w:rsid w:val="201F3D9F"/>
    <w:rsid w:val="20B4681C"/>
    <w:rsid w:val="21FE03C0"/>
    <w:rsid w:val="2233028C"/>
    <w:rsid w:val="2248192A"/>
    <w:rsid w:val="22DF608D"/>
    <w:rsid w:val="22E5357A"/>
    <w:rsid w:val="23A50AE1"/>
    <w:rsid w:val="23DD42B7"/>
    <w:rsid w:val="25122946"/>
    <w:rsid w:val="25AE19DE"/>
    <w:rsid w:val="25AF2F36"/>
    <w:rsid w:val="25D833A4"/>
    <w:rsid w:val="26762F16"/>
    <w:rsid w:val="276F0D5C"/>
    <w:rsid w:val="27F13AF3"/>
    <w:rsid w:val="28110850"/>
    <w:rsid w:val="284D250E"/>
    <w:rsid w:val="28634737"/>
    <w:rsid w:val="28A34CF5"/>
    <w:rsid w:val="28A75732"/>
    <w:rsid w:val="29955B8E"/>
    <w:rsid w:val="29E95A0B"/>
    <w:rsid w:val="29EF1A53"/>
    <w:rsid w:val="2B571E96"/>
    <w:rsid w:val="2B597689"/>
    <w:rsid w:val="2B6F526D"/>
    <w:rsid w:val="2B70057D"/>
    <w:rsid w:val="2B8524F6"/>
    <w:rsid w:val="2B880662"/>
    <w:rsid w:val="2C3F3815"/>
    <w:rsid w:val="2C5C5EB0"/>
    <w:rsid w:val="2CC5701E"/>
    <w:rsid w:val="2D250645"/>
    <w:rsid w:val="2D8611F7"/>
    <w:rsid w:val="2DD22C86"/>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59978AF"/>
    <w:rsid w:val="360A7AFE"/>
    <w:rsid w:val="364313A0"/>
    <w:rsid w:val="365F53D6"/>
    <w:rsid w:val="369B6351"/>
    <w:rsid w:val="370C4F64"/>
    <w:rsid w:val="3AA54DCD"/>
    <w:rsid w:val="3BEF199A"/>
    <w:rsid w:val="3C225EF2"/>
    <w:rsid w:val="3C990EC4"/>
    <w:rsid w:val="3C9C0BF0"/>
    <w:rsid w:val="3CF63FBA"/>
    <w:rsid w:val="3DF73934"/>
    <w:rsid w:val="3E811FA5"/>
    <w:rsid w:val="3EA24DF5"/>
    <w:rsid w:val="3EC91575"/>
    <w:rsid w:val="3FCB52B6"/>
    <w:rsid w:val="40A379D5"/>
    <w:rsid w:val="40AA30BF"/>
    <w:rsid w:val="40BB4E4D"/>
    <w:rsid w:val="410347BE"/>
    <w:rsid w:val="41ED2CD4"/>
    <w:rsid w:val="42266EB6"/>
    <w:rsid w:val="42626533"/>
    <w:rsid w:val="42FC322C"/>
    <w:rsid w:val="43BC5618"/>
    <w:rsid w:val="44CE482D"/>
    <w:rsid w:val="450B526E"/>
    <w:rsid w:val="473A4233"/>
    <w:rsid w:val="47773677"/>
    <w:rsid w:val="479E66F3"/>
    <w:rsid w:val="47F7140E"/>
    <w:rsid w:val="48007DC3"/>
    <w:rsid w:val="48285599"/>
    <w:rsid w:val="485B699D"/>
    <w:rsid w:val="4883485C"/>
    <w:rsid w:val="4A7F32A5"/>
    <w:rsid w:val="4AB54F4A"/>
    <w:rsid w:val="4B202D3E"/>
    <w:rsid w:val="4B335CAB"/>
    <w:rsid w:val="4BEF403B"/>
    <w:rsid w:val="4C1E09A1"/>
    <w:rsid w:val="4CA43892"/>
    <w:rsid w:val="4D1D096E"/>
    <w:rsid w:val="4DFB36DC"/>
    <w:rsid w:val="4E8E7EEC"/>
    <w:rsid w:val="4F5B753D"/>
    <w:rsid w:val="4F667FCD"/>
    <w:rsid w:val="504B0225"/>
    <w:rsid w:val="50894566"/>
    <w:rsid w:val="51480DB7"/>
    <w:rsid w:val="52773D6F"/>
    <w:rsid w:val="528D49AD"/>
    <w:rsid w:val="52B62C1E"/>
    <w:rsid w:val="53041700"/>
    <w:rsid w:val="536819E0"/>
    <w:rsid w:val="537C4C13"/>
    <w:rsid w:val="5442503B"/>
    <w:rsid w:val="544B0C87"/>
    <w:rsid w:val="547271A6"/>
    <w:rsid w:val="56082183"/>
    <w:rsid w:val="56F4024C"/>
    <w:rsid w:val="575B574A"/>
    <w:rsid w:val="57715B3F"/>
    <w:rsid w:val="58632F58"/>
    <w:rsid w:val="58D2343F"/>
    <w:rsid w:val="59E82B3D"/>
    <w:rsid w:val="5A712CB8"/>
    <w:rsid w:val="5B6B3389"/>
    <w:rsid w:val="5BA93B47"/>
    <w:rsid w:val="5C730813"/>
    <w:rsid w:val="5C965F57"/>
    <w:rsid w:val="5CB15C5A"/>
    <w:rsid w:val="5CCF7293"/>
    <w:rsid w:val="5E1938FC"/>
    <w:rsid w:val="5E8E3A37"/>
    <w:rsid w:val="5F20682D"/>
    <w:rsid w:val="5FA3057E"/>
    <w:rsid w:val="5FE365E0"/>
    <w:rsid w:val="606754C2"/>
    <w:rsid w:val="60C92174"/>
    <w:rsid w:val="60E13678"/>
    <w:rsid w:val="61942DA0"/>
    <w:rsid w:val="61FF01EB"/>
    <w:rsid w:val="6223105B"/>
    <w:rsid w:val="62592514"/>
    <w:rsid w:val="63087D04"/>
    <w:rsid w:val="6369416F"/>
    <w:rsid w:val="63EA55FC"/>
    <w:rsid w:val="64EE0044"/>
    <w:rsid w:val="65D5573B"/>
    <w:rsid w:val="65E6543F"/>
    <w:rsid w:val="65FC5051"/>
    <w:rsid w:val="66675E78"/>
    <w:rsid w:val="666B22F3"/>
    <w:rsid w:val="66D21CD3"/>
    <w:rsid w:val="67721FDF"/>
    <w:rsid w:val="6820606B"/>
    <w:rsid w:val="6850001D"/>
    <w:rsid w:val="68BE34EA"/>
    <w:rsid w:val="68C7523B"/>
    <w:rsid w:val="69191395"/>
    <w:rsid w:val="691B396C"/>
    <w:rsid w:val="69300671"/>
    <w:rsid w:val="6A5149E0"/>
    <w:rsid w:val="6B865F09"/>
    <w:rsid w:val="6C0E0407"/>
    <w:rsid w:val="6C940FE7"/>
    <w:rsid w:val="6CC25972"/>
    <w:rsid w:val="6D0114C2"/>
    <w:rsid w:val="6DC55DF2"/>
    <w:rsid w:val="6DE61C73"/>
    <w:rsid w:val="6DFB23D9"/>
    <w:rsid w:val="6E9C5689"/>
    <w:rsid w:val="6FC510A5"/>
    <w:rsid w:val="701A07FE"/>
    <w:rsid w:val="707A450F"/>
    <w:rsid w:val="715738BB"/>
    <w:rsid w:val="73874845"/>
    <w:rsid w:val="741708C9"/>
    <w:rsid w:val="74302F7C"/>
    <w:rsid w:val="748A45F7"/>
    <w:rsid w:val="749B2630"/>
    <w:rsid w:val="75BA74FD"/>
    <w:rsid w:val="75C87EAE"/>
    <w:rsid w:val="765647A3"/>
    <w:rsid w:val="7660015C"/>
    <w:rsid w:val="76684839"/>
    <w:rsid w:val="76702C88"/>
    <w:rsid w:val="775B05B3"/>
    <w:rsid w:val="77874BA2"/>
    <w:rsid w:val="798D2727"/>
    <w:rsid w:val="79DD6C0C"/>
    <w:rsid w:val="7A286467"/>
    <w:rsid w:val="7A513017"/>
    <w:rsid w:val="7B2A2EDB"/>
    <w:rsid w:val="7BD717EC"/>
    <w:rsid w:val="7CFB7342"/>
    <w:rsid w:val="7D027409"/>
    <w:rsid w:val="7D3578F6"/>
    <w:rsid w:val="7D3D307D"/>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2">
    <w:name w:val="heading 2"/>
    <w:basedOn w:val="1"/>
    <w:next w:val="1"/>
    <w:qFormat/>
    <w:locked/>
    <w:uiPriority w:val="1"/>
    <w:pPr>
      <w:ind w:right="240"/>
      <w:jc w:val="center"/>
      <w:outlineLvl w:val="1"/>
    </w:pPr>
    <w:rPr>
      <w:b/>
      <w:bCs/>
      <w:sz w:val="24"/>
      <w:szCs w:val="24"/>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1320"/>
    </w:pPr>
    <w:rPr>
      <w:rFonts w:asciiTheme="minorHAnsi" w:hAnsiTheme="minorHAnsi" w:cstheme="minorHAnsi"/>
      <w:sz w:val="18"/>
      <w:szCs w:val="18"/>
    </w:rPr>
  </w:style>
  <w:style w:type="paragraph" w:styleId="4">
    <w:name w:val="caption"/>
    <w:basedOn w:val="1"/>
    <w:next w:val="1"/>
    <w:link w:val="40"/>
    <w:unhideWhenUsed/>
    <w:qFormat/>
    <w:locked/>
    <w:uiPriority w:val="35"/>
    <w:pPr>
      <w:jc w:val="both"/>
    </w:pPr>
    <w:rPr>
      <w:rFonts w:ascii="Cambria" w:hAnsi="Cambria" w:eastAsia="黑体"/>
      <w:kern w:val="2"/>
      <w:sz w:val="20"/>
      <w:szCs w:val="20"/>
      <w:lang w:eastAsia="zh-CN"/>
    </w:rPr>
  </w:style>
  <w:style w:type="paragraph" w:styleId="5">
    <w:name w:val="Body Text"/>
    <w:basedOn w:val="1"/>
    <w:link w:val="28"/>
    <w:qFormat/>
    <w:uiPriority w:val="99"/>
    <w:pPr>
      <w:ind w:left="289"/>
    </w:pPr>
    <w:rPr>
      <w:rFonts w:ascii="宋体" w:hAnsi="宋体"/>
      <w:sz w:val="26"/>
      <w:szCs w:val="26"/>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toc 5"/>
    <w:basedOn w:val="1"/>
    <w:next w:val="1"/>
    <w:qFormat/>
    <w:locked/>
    <w:uiPriority w:val="0"/>
    <w:pPr>
      <w:ind w:left="880"/>
    </w:pPr>
    <w:rPr>
      <w:rFonts w:asciiTheme="minorHAnsi" w:hAnsiTheme="minorHAnsi" w:cstheme="minorHAnsi"/>
      <w:sz w:val="18"/>
      <w:szCs w:val="18"/>
    </w:rPr>
  </w:style>
  <w:style w:type="paragraph" w:styleId="8">
    <w:name w:val="toc 3"/>
    <w:basedOn w:val="1"/>
    <w:next w:val="1"/>
    <w:qFormat/>
    <w:locked/>
    <w:uiPriority w:val="0"/>
    <w:pPr>
      <w:ind w:left="440"/>
    </w:pPr>
    <w:rPr>
      <w:rFonts w:asciiTheme="minorHAnsi" w:hAnsiTheme="minorHAnsi" w:cstheme="minorHAnsi"/>
      <w:i/>
      <w:iCs/>
      <w:sz w:val="20"/>
      <w:szCs w:val="20"/>
    </w:rPr>
  </w:style>
  <w:style w:type="paragraph" w:styleId="9">
    <w:name w:val="toc 8"/>
    <w:basedOn w:val="1"/>
    <w:next w:val="1"/>
    <w:qFormat/>
    <w:locked/>
    <w:uiPriority w:val="0"/>
    <w:pPr>
      <w:ind w:left="1540"/>
    </w:pPr>
    <w:rPr>
      <w:rFonts w:asciiTheme="minorHAnsi" w:hAnsiTheme="minorHAnsi" w:cstheme="minorHAnsi"/>
      <w:sz w:val="18"/>
      <w:szCs w:val="18"/>
    </w:rPr>
  </w:style>
  <w:style w:type="paragraph" w:styleId="10">
    <w:name w:val="Date"/>
    <w:basedOn w:val="1"/>
    <w:next w:val="1"/>
    <w:link w:val="53"/>
    <w:semiHidden/>
    <w:unhideWhenUsed/>
    <w:qFormat/>
    <w:uiPriority w:val="99"/>
    <w:pPr>
      <w:ind w:left="100" w:leftChars="2500"/>
    </w:pPr>
  </w:style>
  <w:style w:type="paragraph" w:styleId="11">
    <w:name w:val="Body Text Indent 2"/>
    <w:basedOn w:val="1"/>
    <w:qFormat/>
    <w:uiPriority w:val="99"/>
    <w:pPr>
      <w:spacing w:after="120" w:line="480" w:lineRule="auto"/>
      <w:ind w:left="420" w:leftChars="200"/>
    </w:pPr>
    <w:rPr>
      <w:sz w:val="24"/>
      <w:szCs w:val="24"/>
    </w:rPr>
  </w:style>
  <w:style w:type="paragraph" w:styleId="12">
    <w:name w:val="Balloon Text"/>
    <w:basedOn w:val="1"/>
    <w:link w:val="35"/>
    <w:semiHidden/>
    <w:qFormat/>
    <w:uiPriority w:val="99"/>
    <w:pPr>
      <w:jc w:val="both"/>
    </w:pPr>
    <w:rPr>
      <w:sz w:val="18"/>
      <w:szCs w:val="18"/>
      <w:lang w:eastAsia="zh-CN"/>
    </w:rPr>
  </w:style>
  <w:style w:type="paragraph" w:styleId="13">
    <w:name w:val="footer"/>
    <w:basedOn w:val="1"/>
    <w:link w:val="34"/>
    <w:semiHidden/>
    <w:qFormat/>
    <w:uiPriority w:val="99"/>
    <w:pPr>
      <w:tabs>
        <w:tab w:val="center" w:pos="4153"/>
        <w:tab w:val="right" w:pos="8306"/>
      </w:tabs>
      <w:snapToGrid w:val="0"/>
    </w:pPr>
    <w:rPr>
      <w:sz w:val="18"/>
      <w:szCs w:val="18"/>
    </w:rPr>
  </w:style>
  <w:style w:type="paragraph" w:styleId="14">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0"/>
    <w:pPr>
      <w:spacing w:before="120" w:after="120"/>
    </w:pPr>
    <w:rPr>
      <w:rFonts w:asciiTheme="minorHAnsi" w:hAnsiTheme="minorHAnsi" w:cstheme="minorHAnsi"/>
      <w:b/>
      <w:bCs/>
      <w:caps/>
      <w:sz w:val="20"/>
      <w:szCs w:val="20"/>
    </w:rPr>
  </w:style>
  <w:style w:type="paragraph" w:styleId="16">
    <w:name w:val="toc 4"/>
    <w:basedOn w:val="1"/>
    <w:next w:val="1"/>
    <w:qFormat/>
    <w:locked/>
    <w:uiPriority w:val="0"/>
    <w:pPr>
      <w:ind w:left="660"/>
    </w:pPr>
    <w:rPr>
      <w:rFonts w:asciiTheme="minorHAnsi" w:hAnsiTheme="minorHAnsi" w:cstheme="minorHAnsi"/>
      <w:sz w:val="18"/>
      <w:szCs w:val="18"/>
    </w:rPr>
  </w:style>
  <w:style w:type="paragraph" w:styleId="17">
    <w:name w:val="toc 6"/>
    <w:basedOn w:val="1"/>
    <w:next w:val="1"/>
    <w:qFormat/>
    <w:locked/>
    <w:uiPriority w:val="0"/>
    <w:pPr>
      <w:ind w:left="1100"/>
    </w:pPr>
    <w:rPr>
      <w:rFonts w:asciiTheme="minorHAnsi" w:hAnsiTheme="minorHAnsi" w:cstheme="minorHAnsi"/>
      <w:sz w:val="18"/>
      <w:szCs w:val="18"/>
    </w:rPr>
  </w:style>
  <w:style w:type="paragraph" w:styleId="18">
    <w:name w:val="toc 2"/>
    <w:basedOn w:val="1"/>
    <w:next w:val="1"/>
    <w:qFormat/>
    <w:locked/>
    <w:uiPriority w:val="39"/>
    <w:pPr>
      <w:ind w:left="220"/>
    </w:pPr>
    <w:rPr>
      <w:rFonts w:asciiTheme="minorHAnsi" w:hAnsiTheme="minorHAnsi" w:cstheme="minorHAnsi"/>
      <w:smallCaps/>
      <w:sz w:val="20"/>
      <w:szCs w:val="20"/>
    </w:rPr>
  </w:style>
  <w:style w:type="paragraph" w:styleId="19">
    <w:name w:val="toc 9"/>
    <w:basedOn w:val="1"/>
    <w:next w:val="1"/>
    <w:qFormat/>
    <w:locked/>
    <w:uiPriority w:val="0"/>
    <w:pPr>
      <w:ind w:left="1760"/>
    </w:pPr>
    <w:rPr>
      <w:rFonts w:asciiTheme="minorHAnsi" w:hAnsiTheme="minorHAnsi" w:cstheme="minorHAnsi"/>
      <w:sz w:val="18"/>
      <w:szCs w:val="18"/>
    </w:rPr>
  </w:style>
  <w:style w:type="paragraph" w:styleId="2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4">
    <w:name w:val="Strong"/>
    <w:basedOn w:val="23"/>
    <w:qFormat/>
    <w:locked/>
    <w:uiPriority w:val="22"/>
    <w:rPr>
      <w:b/>
      <w:bCs/>
    </w:rPr>
  </w:style>
  <w:style w:type="character" w:styleId="25">
    <w:name w:val="FollowedHyperlink"/>
    <w:basedOn w:val="23"/>
    <w:semiHidden/>
    <w:unhideWhenUsed/>
    <w:qFormat/>
    <w:uiPriority w:val="99"/>
    <w:rPr>
      <w:color w:val="800080"/>
      <w:u w:val="single"/>
    </w:rPr>
  </w:style>
  <w:style w:type="character" w:styleId="26">
    <w:name w:val="Hyperlink"/>
    <w:basedOn w:val="23"/>
    <w:qFormat/>
    <w:uiPriority w:val="99"/>
    <w:rPr>
      <w:rFonts w:cs="Times New Roman"/>
      <w:color w:val="0000FF"/>
      <w:u w:val="single"/>
    </w:rPr>
  </w:style>
  <w:style w:type="table" w:customStyle="1" w:styleId="27">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8">
    <w:name w:val="正文文本 Char"/>
    <w:basedOn w:val="23"/>
    <w:link w:val="5"/>
    <w:semiHidden/>
    <w:qFormat/>
    <w:locked/>
    <w:uiPriority w:val="99"/>
    <w:rPr>
      <w:rFonts w:cs="Times New Roman"/>
      <w:kern w:val="0"/>
      <w:sz w:val="22"/>
      <w:lang w:eastAsia="en-US"/>
    </w:rPr>
  </w:style>
  <w:style w:type="paragraph" w:customStyle="1" w:styleId="29">
    <w:name w:val="Heading 11"/>
    <w:basedOn w:val="1"/>
    <w:qFormat/>
    <w:uiPriority w:val="99"/>
    <w:pPr>
      <w:outlineLvl w:val="1"/>
    </w:pPr>
    <w:rPr>
      <w:rFonts w:ascii="黑体" w:hAnsi="黑体" w:eastAsia="黑体"/>
      <w:sz w:val="32"/>
      <w:szCs w:val="32"/>
    </w:rPr>
  </w:style>
  <w:style w:type="paragraph" w:customStyle="1" w:styleId="30">
    <w:name w:val="Heading 21"/>
    <w:basedOn w:val="1"/>
    <w:qFormat/>
    <w:uiPriority w:val="99"/>
    <w:pPr>
      <w:ind w:left="560" w:hanging="629"/>
      <w:outlineLvl w:val="2"/>
    </w:pPr>
    <w:rPr>
      <w:rFonts w:ascii="宋体" w:hAnsi="宋体"/>
      <w:sz w:val="28"/>
      <w:szCs w:val="28"/>
    </w:rPr>
  </w:style>
  <w:style w:type="paragraph" w:styleId="31">
    <w:name w:val="List Paragraph"/>
    <w:basedOn w:val="1"/>
    <w:qFormat/>
    <w:uiPriority w:val="34"/>
  </w:style>
  <w:style w:type="paragraph" w:customStyle="1" w:styleId="32">
    <w:name w:val="Table Paragraph"/>
    <w:basedOn w:val="1"/>
    <w:qFormat/>
    <w:uiPriority w:val="99"/>
  </w:style>
  <w:style w:type="character" w:customStyle="1" w:styleId="33">
    <w:name w:val="页眉 Char"/>
    <w:basedOn w:val="23"/>
    <w:link w:val="14"/>
    <w:semiHidden/>
    <w:qFormat/>
    <w:locked/>
    <w:uiPriority w:val="99"/>
    <w:rPr>
      <w:rFonts w:cs="Times New Roman"/>
      <w:sz w:val="18"/>
      <w:szCs w:val="18"/>
    </w:rPr>
  </w:style>
  <w:style w:type="character" w:customStyle="1" w:styleId="34">
    <w:name w:val="页脚 Char"/>
    <w:basedOn w:val="23"/>
    <w:link w:val="13"/>
    <w:semiHidden/>
    <w:qFormat/>
    <w:locked/>
    <w:uiPriority w:val="99"/>
    <w:rPr>
      <w:rFonts w:cs="Times New Roman"/>
      <w:sz w:val="18"/>
      <w:szCs w:val="18"/>
    </w:rPr>
  </w:style>
  <w:style w:type="character" w:customStyle="1" w:styleId="35">
    <w:name w:val="批注框文本 Char"/>
    <w:basedOn w:val="23"/>
    <w:link w:val="12"/>
    <w:semiHidden/>
    <w:qFormat/>
    <w:locked/>
    <w:uiPriority w:val="99"/>
    <w:rPr>
      <w:rFonts w:ascii="Calibri" w:hAnsi="Calibri" w:eastAsia="宋体" w:cs="Times New Roman"/>
      <w:sz w:val="18"/>
      <w:szCs w:val="18"/>
      <w:lang w:val="en-US" w:eastAsia="zh-CN" w:bidi="ar-SA"/>
    </w:rPr>
  </w:style>
  <w:style w:type="paragraph" w:customStyle="1" w:styleId="36">
    <w:name w:val="YL正文"/>
    <w:basedOn w:val="1"/>
    <w:link w:val="37"/>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7">
    <w:name w:val="YL正文 Char"/>
    <w:basedOn w:val="23"/>
    <w:link w:val="36"/>
    <w:qFormat/>
    <w:locked/>
    <w:uiPriority w:val="99"/>
    <w:rPr>
      <w:rFonts w:ascii="仿宋" w:hAnsi="仿宋" w:eastAsia="宋体" w:cs="Times New Roman"/>
      <w:color w:val="000000"/>
      <w:kern w:val="2"/>
      <w:sz w:val="24"/>
      <w:szCs w:val="24"/>
      <w:lang w:val="en-US" w:eastAsia="zh-CN" w:bidi="ar-SA"/>
    </w:rPr>
  </w:style>
  <w:style w:type="paragraph" w:customStyle="1" w:styleId="38">
    <w:name w:val="YL六级"/>
    <w:basedOn w:val="1"/>
    <w:link w:val="39"/>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9">
    <w:name w:val="YL六级 Char"/>
    <w:basedOn w:val="23"/>
    <w:link w:val="38"/>
    <w:qFormat/>
    <w:locked/>
    <w:uiPriority w:val="99"/>
    <w:rPr>
      <w:rFonts w:ascii="仿宋" w:hAnsi="仿宋" w:eastAsia="宋体" w:cs="Times New Roman"/>
      <w:b/>
      <w:color w:val="000000"/>
      <w:kern w:val="2"/>
      <w:sz w:val="24"/>
      <w:szCs w:val="24"/>
      <w:lang w:val="en-US" w:eastAsia="zh-CN" w:bidi="ar-SA"/>
    </w:rPr>
  </w:style>
  <w:style w:type="character" w:customStyle="1" w:styleId="40">
    <w:name w:val="题注 Char"/>
    <w:basedOn w:val="23"/>
    <w:link w:val="4"/>
    <w:qFormat/>
    <w:uiPriority w:val="35"/>
    <w:rPr>
      <w:rFonts w:ascii="Cambria" w:hAnsi="Cambria" w:eastAsia="黑体"/>
      <w:kern w:val="2"/>
    </w:rPr>
  </w:style>
  <w:style w:type="paragraph" w:customStyle="1" w:styleId="41">
    <w:name w:val="XN表头"/>
    <w:basedOn w:val="4"/>
    <w:qFormat/>
    <w:uiPriority w:val="0"/>
    <w:pPr>
      <w:spacing w:beforeLines="30" w:afterLines="20"/>
      <w:jc w:val="center"/>
    </w:pPr>
    <w:rPr>
      <w:rFonts w:eastAsia="宋体"/>
      <w:b/>
      <w:sz w:val="24"/>
    </w:rPr>
  </w:style>
  <w:style w:type="paragraph" w:customStyle="1" w:styleId="42">
    <w:name w:val="XN表内容"/>
    <w:basedOn w:val="1"/>
    <w:link w:val="43"/>
    <w:qFormat/>
    <w:uiPriority w:val="0"/>
    <w:pPr>
      <w:spacing w:line="264" w:lineRule="auto"/>
      <w:jc w:val="center"/>
    </w:pPr>
    <w:rPr>
      <w:rFonts w:ascii="仿宋" w:hAnsi="仿宋"/>
      <w:color w:val="000000"/>
      <w:kern w:val="2"/>
      <w:sz w:val="21"/>
      <w:szCs w:val="24"/>
      <w:lang w:eastAsia="zh-CN"/>
    </w:rPr>
  </w:style>
  <w:style w:type="character" w:customStyle="1" w:styleId="43">
    <w:name w:val="XN表内容 Char"/>
    <w:basedOn w:val="23"/>
    <w:link w:val="42"/>
    <w:qFormat/>
    <w:uiPriority w:val="0"/>
    <w:rPr>
      <w:rFonts w:ascii="仿宋" w:hAnsi="仿宋"/>
      <w:color w:val="000000"/>
      <w:kern w:val="2"/>
      <w:sz w:val="21"/>
      <w:szCs w:val="24"/>
    </w:rPr>
  </w:style>
  <w:style w:type="paragraph" w:customStyle="1" w:styleId="44">
    <w:name w:val="表头"/>
    <w:basedOn w:val="1"/>
    <w:link w:val="45"/>
    <w:qFormat/>
    <w:uiPriority w:val="0"/>
    <w:pPr>
      <w:adjustRightInd w:val="0"/>
      <w:snapToGrid w:val="0"/>
      <w:jc w:val="center"/>
    </w:pPr>
    <w:rPr>
      <w:rFonts w:ascii="宋体" w:hAnsi="宋体"/>
      <w:b/>
      <w:sz w:val="20"/>
      <w:szCs w:val="21"/>
      <w:lang w:eastAsia="zh-CN"/>
    </w:rPr>
  </w:style>
  <w:style w:type="character" w:customStyle="1" w:styleId="45">
    <w:name w:val="表头 Char"/>
    <w:link w:val="44"/>
    <w:qFormat/>
    <w:uiPriority w:val="0"/>
    <w:rPr>
      <w:rFonts w:ascii="宋体" w:hAnsi="宋体"/>
      <w:b/>
      <w:szCs w:val="21"/>
    </w:rPr>
  </w:style>
  <w:style w:type="paragraph" w:customStyle="1" w:styleId="46">
    <w:name w:val="表头五号"/>
    <w:basedOn w:val="1"/>
    <w:link w:val="47"/>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7">
    <w:name w:val="表头五号 Char"/>
    <w:basedOn w:val="23"/>
    <w:link w:val="46"/>
    <w:qFormat/>
    <w:uiPriority w:val="0"/>
    <w:rPr>
      <w:rFonts w:ascii="宋体" w:hAnsi="宋体"/>
      <w:b/>
      <w:kern w:val="2"/>
      <w:sz w:val="21"/>
      <w:szCs w:val="24"/>
    </w:rPr>
  </w:style>
  <w:style w:type="paragraph" w:customStyle="1" w:styleId="48">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9">
    <w:name w:val="font01"/>
    <w:basedOn w:val="23"/>
    <w:qFormat/>
    <w:uiPriority w:val="0"/>
    <w:rPr>
      <w:rFonts w:hint="eastAsia" w:ascii="宋体" w:hAnsi="宋体" w:eastAsia="宋体" w:cs="宋体"/>
      <w:color w:val="000000"/>
      <w:sz w:val="20"/>
      <w:szCs w:val="20"/>
      <w:u w:val="none"/>
    </w:rPr>
  </w:style>
  <w:style w:type="character" w:customStyle="1" w:styleId="50">
    <w:name w:val="font11"/>
    <w:basedOn w:val="23"/>
    <w:qFormat/>
    <w:uiPriority w:val="0"/>
    <w:rPr>
      <w:rFonts w:hint="default" w:ascii="Arial" w:hAnsi="Arial" w:cs="Arial"/>
      <w:color w:val="000000"/>
      <w:sz w:val="20"/>
      <w:szCs w:val="20"/>
      <w:u w:val="none"/>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3">
    <w:name w:val="日期 Char"/>
    <w:basedOn w:val="23"/>
    <w:link w:val="10"/>
    <w:semiHidden/>
    <w:qFormat/>
    <w:uiPriority w:val="99"/>
    <w:rPr>
      <w:rFonts w:ascii="Calibri" w:hAnsi="Calibri"/>
      <w:sz w:val="22"/>
      <w:szCs w:val="22"/>
      <w:lang w:eastAsia="en-US"/>
    </w:rPr>
  </w:style>
  <w:style w:type="paragraph" w:customStyle="1" w:styleId="54">
    <w:name w:val="XN图标"/>
    <w:basedOn w:val="1"/>
    <w:qFormat/>
    <w:uiPriority w:val="0"/>
    <w:pPr>
      <w:widowControl/>
      <w:spacing w:line="264" w:lineRule="auto"/>
      <w:jc w:val="center"/>
    </w:pPr>
    <w:rPr>
      <w:rFonts w:ascii="仿宋" w:hAnsi="仿宋" w:eastAsia="仿宋"/>
      <w:color w:val="000000"/>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em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7E1F-10DC-48DA-8E7C-A53521493D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23</Pages>
  <Words>10867</Words>
  <Characters>1694</Characters>
  <Lines>14</Lines>
  <Paragraphs>25</Paragraphs>
  <TotalTime>9</TotalTime>
  <ScaleCrop>false</ScaleCrop>
  <LinksUpToDate>false</LinksUpToDate>
  <CharactersWithSpaces>12536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口</cp:lastModifiedBy>
  <cp:lastPrinted>2020-04-14T05:26:00Z</cp:lastPrinted>
  <dcterms:modified xsi:type="dcterms:W3CDTF">2022-03-18T02:17:20Z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42E3A48313C94538A7D6505643E6C12A</vt:lpwstr>
  </property>
</Properties>
</file>